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A241C"/>
          <w:sz w:val="48"/>
        </w:rPr>
        <w:t>Complete Volume — All Three Unit Reports</w:t>
      </w:r>
    </w:p>
    <w:p>
      <w:pPr>
        <w:jc w:val="center"/>
      </w:pPr>
      <w:r>
        <w:rPr>
          <w:i/>
          <w:color w:val="1282A2"/>
          <w:sz w:val="26"/>
        </w:rPr>
        <w:t>36 Sections (12 per Unit) · Comprehensive Compilation</w:t>
      </w:r>
    </w:p>
    <w:p>
      <w:pPr>
        <w:jc w:val="center"/>
      </w:pPr>
      <w:r>
        <w:rPr>
          <w:color w:val="5A5A5A"/>
          <w:sz w:val="22"/>
        </w:rPr>
        <w:t>GROUP 4 — Discrete Mathematics</w:t>
      </w:r>
    </w:p>
    <w:p>
      <w:pPr>
        <w:jc w:val="center"/>
      </w:pPr>
      <w:r>
        <w:rPr>
          <w:color w:val="5A5A5A"/>
          <w:sz w:val="22"/>
        </w:rPr>
        <w:t>Mini R&amp;D Report — August 28, 2026</w:t>
      </w:r>
    </w:p>
    <w:p>
      <w:pPr>
        <w:jc w:val="center"/>
      </w:pPr>
      <w:r>
        <w:rPr>
          <w:i/>
          <w:color w:val="965050"/>
          <w:sz w:val="18"/>
        </w:rPr>
        <w:t>This is an educational mathematics assignment demonstrating the application of discrete mathematics to a hypothetical medical diagnosis system. It does not constitute medical advice.</w:t>
      </w:r>
    </w:p>
    <w:p>
      <w:pPr>
        <w:jc w:val="center"/>
      </w:pPr>
      <w:r>
        <w:rPr>
          <w:color w:val="C8C8C8"/>
          <w:sz w:val="16"/>
        </w:rPr>
        <w:t>━━━━━━━━━━━━━━━━━━━━━━━━━━━━━━━━━━━━━━━━</w:t>
      </w:r>
    </w:p>
    <w:p>
      <w:pPr>
        <w:pStyle w:val="Heading1"/>
      </w:pPr>
      <w:r>
        <w:t>Master Table of Contents</w:t>
      </w:r>
    </w:p>
    <w:p>
      <w:pPr>
        <w:spacing w:after="120"/>
      </w:pPr>
      <w:r>
        <w:rPr>
          <w:rFonts w:ascii="Calibri" w:hAnsi="Calibri"/>
          <w:b w:val="0"/>
          <w:i/>
          <w:sz w:val="20"/>
        </w:rPr>
        <w:t>This volume compiles all three standalone Unit reports back-to-back, each following the faculty's 12-section R&amp;D format. The integrated full R&amp;D report (GROUP4_RnD_Report) provides a concise 12-section synthesis; this volume is the expanded 36-section compilation for detailed submission.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ListBullet"/>
        <w:spacing w:after="60"/>
      </w:pPr>
      <w:r>
        <w:t>Part I — Unit I: Logic and Proofs (12 sections, Propositional Logic)</w:t>
      </w:r>
    </w:p>
    <w:p>
      <w:pPr>
        <w:pStyle w:val="ListBullet"/>
        <w:spacing w:after="60"/>
      </w:pPr>
      <w:r>
        <w:t>Part II — Unit II: Combinatorics (12 sections, Counting Methods)</w:t>
      </w:r>
    </w:p>
    <w:p>
      <w:pPr>
        <w:pStyle w:val="ListBullet"/>
        <w:spacing w:after="60"/>
      </w:pPr>
      <w:r>
        <w:t>Part III — Unit III: Graphs &amp; Isomorphism (12 sections, Bipartite Graphs)</w:t>
      </w:r>
    </w:p>
    <w:p>
      <w:r>
        <w:br/>
      </w:r>
    </w:p>
    <w:p>
      <w:pPr>
        <w:jc w:val="center"/>
      </w:pPr>
      <w:r>
        <w:rPr>
          <w:b/>
          <w:color w:val="1282A2"/>
          <w:sz w:val="36"/>
        </w:rPr>
        <w:t>PART I</w:t>
      </w:r>
    </w:p>
    <w:p>
      <w:pPr>
        <w:jc w:val="center"/>
      </w:pPr>
      <w:r>
        <w:rPr>
          <w:b/>
          <w:sz w:val="40"/>
        </w:rPr>
        <w:t>Unit I — Logic and Proofs</w:t>
      </w:r>
    </w:p>
    <w:p>
      <w:pPr>
        <w:spacing w:after="120"/>
      </w:pPr>
      <w:r>
        <w:rPr>
          <w:rFonts w:ascii="Calibri" w:hAnsi="Calibri"/>
          <w:b w:val="0"/>
          <w:i/>
          <w:sz w:val="20"/>
        </w:rPr>
        <w:t>Propositional Logic and Hypothetical Syllogism for Symptom-Based Triage</w:t>
      </w:r>
    </w:p>
    <w:p>
      <w:pPr>
        <w:pStyle w:val="Heading1"/>
      </w:pPr>
      <w:r>
        <w:t>1. Title of the Case Study</w:t>
      </w:r>
    </w:p>
    <w:p>
      <w:pPr>
        <w:spacing w:after="120"/>
      </w:pPr>
      <w:r>
        <w:rPr>
          <w:rFonts w:ascii="Calibri" w:hAnsi="Calibri"/>
          <w:b/>
          <w:i w:val="0"/>
          <w:sz w:val="24"/>
        </w:rPr>
        <w:t>Proving the Validity of a Symptom-Based Triage Rule Using Propositional Logic and Hypothetical Syllogism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In medical diagnosis systems, clinical decision rules must be both correct and auditable. This report investigates a fundamental triage rule: if two sentinel symptoms are present together, should further diagnostic testing be recommended? We formalise this question using propositional logic, construct a rigorous proof via Hypothetical Syllogism, and verify the result semantically using a complete 16-row truth table.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ability to prove that a clinical rule follows from a knowledge base is critical for regulatory compliance (EU AI Act Article 13, FDA SaMD guidance), clinician trust, and educational demonstration of how abstract logic applies to real decision systems.</w:t>
      </w:r>
    </w:p>
    <w:p>
      <w:pPr>
        <w:pStyle w:val="Heading1"/>
      </w:pPr>
      <w:r>
        <w:t>2. Problem Statement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We are given two premises that encode clinical knowledge: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Premise</w:t>
            </w:r>
          </w:p>
        </w:tc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Logical Form</w:t>
            </w:r>
          </w:p>
        </w:tc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Natural Language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P₁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(A ∧ B) → X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If both symptom A and symptom B are present, disease X is suspected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P₂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X → T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If disease X is suspected, further testing T is recommended</w:t>
            </w:r>
          </w:p>
        </w:tc>
      </w:tr>
    </w:tbl>
    <w:p>
      <w:pPr>
        <w:jc w:val="center"/>
      </w:pPr>
      <w:r>
        <w:rPr>
          <w:i/>
          <w:color w:val="5A5A5A"/>
          <w:sz w:val="18"/>
        </w:rPr>
        <w:t>Table I-1: The two premises.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The central question: Does (A ∧ B) alone logically entail T? Can we formally derive (A ∧ B) → T from P₁ and P₂?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60"/>
      </w:pPr>
      <w:r>
        <w:t>1. Construct a formal proof of (A ∧ B) → T via Hypothetical Syllogism</w:t>
      </w:r>
    </w:p>
    <w:p>
      <w:pPr>
        <w:spacing w:after="60"/>
      </w:pPr>
      <w:r>
        <w:t>2. Verify semantically using all 16 truth-value assignments</w:t>
      </w:r>
    </w:p>
    <w:p>
      <w:pPr>
        <w:spacing w:after="60"/>
      </w:pPr>
      <w:r>
        <w:t>3. Identify fired vs. vacuous rows in the truth table</w:t>
      </w:r>
    </w:p>
    <w:p>
      <w:pPr>
        <w:spacing w:after="60"/>
      </w:pPr>
      <w:r>
        <w:t>4. Confirm validity: conclusion holds whenever both premises hold</w:t>
      </w:r>
    </w:p>
    <w:p>
      <w:pPr>
        <w:spacing w:after="60"/>
      </w:pPr>
      <w:r>
        <w:t>5. Discuss practical implications for the Symptom Checker demo</w:t>
      </w:r>
    </w:p>
    <w:p>
      <w:pPr>
        <w:pStyle w:val="Heading1"/>
      </w:pPr>
      <w:r>
        <w:t>3. Real-World Context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Consider a hospital triage chatbot processing patient-reported symptoms. The knowledge base contains rules like:</w:t>
      </w:r>
    </w:p>
    <w:p>
      <w:pPr>
        <w:pStyle w:val="ListBullet"/>
        <w:spacing w:after="60"/>
      </w:pPr>
      <w:r>
        <w:t>Rule 1: 'If a patient presents with both fever AND cough, we suspect influenza.'</w:t>
      </w:r>
    </w:p>
    <w:p>
      <w:pPr>
        <w:pStyle w:val="ListBullet"/>
        <w:spacing w:after="60"/>
      </w:pPr>
      <w:r>
        <w:t>Rule 2: 'If we suspect influenza, we recommend a chest X-ray and blood panel.'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 derived rule would be: 'If fever AND cough, recommend X-ray.' But is this guaranteed by the knowledge base? Or is it an ad-hoc shortcut?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In safety-critical systems, 'it seems right' is insufficient. Formal proof provides the audit trail that a black-box score cannot. The EU AI Act requires 'transparent and explainable' decisions for high-risk AI systems.</w:t>
      </w:r>
    </w:p>
    <w:p>
      <w:pPr>
        <w:pStyle w:val="Heading1"/>
      </w:pPr>
      <w:r>
        <w:t>4. Mathematical Concept Used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Propositional logic: propositions A, B, X, T; connectives ∧, →; inference rules Modus Ponens, Conditional Proof, and derived Hypothetical Syllogism.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Concept</w:t>
            </w:r>
          </w:p>
        </w:tc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Symbol</w:t>
            </w:r>
          </w:p>
        </w:tc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Description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Conjunction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 ∧ q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True only when both p and q are true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Implication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 → q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False only when p is true and q is false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Modus Ponens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 → q, p ⊢ q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From implication and antecedent, derive consequent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Conditional Proof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Assume p, derive q ⊢ p → q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Prove an implication by assuming antecedent</w:t>
            </w:r>
          </w:p>
        </w:tc>
      </w:tr>
    </w:tbl>
    <w:p>
      <w:pPr>
        <w:jc w:val="center"/>
      </w:pPr>
      <w:r>
        <w:rPr>
          <w:i/>
          <w:color w:val="5A5A5A"/>
          <w:sz w:val="18"/>
        </w:rPr>
        <w:t>Table I-2: Core logical concepts.</w:t>
      </w:r>
    </w:p>
    <w:p>
      <w:pPr>
        <w:pStyle w:val="Heading1"/>
      </w:pPr>
      <w:r>
        <w:t>5. Mathematical Formulation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Variables: A='symptom A present', B='symptom B present', X='disease X suspected', T='further testing recommended'.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Premises: P₁:=(A∧B)→X, P₂:=X→T. Theorem: ⊢ (A∧B)→T.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Key insight: implication is NOT causation. The material conditional p→q is false ONLY when p is true and q is false. In all other cases — including when p is false — the implication holds vacuously.</w:t>
      </w:r>
    </w:p>
    <w:p>
      <w:pPr>
        <w:pStyle w:val="Heading1"/>
      </w:pPr>
      <w:r>
        <w:t>6. Analysis / Solution — Proof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Complete proof via Conditional Proof: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Step</w:t>
            </w:r>
          </w:p>
        </w:tc>
        <w:tc>
          <w:tcPr>
            <w:tcW w:type="dxa" w:w="2412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Statement</w:t>
            </w:r>
          </w:p>
        </w:tc>
        <w:tc>
          <w:tcPr>
            <w:tcW w:type="dxa" w:w="2412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Justification</w:t>
            </w:r>
          </w:p>
        </w:tc>
        <w:tc>
          <w:tcPr>
            <w:tcW w:type="dxa" w:w="2412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Type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(A ∧ B) → X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Premise P₁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Given</w:t>
            </w:r>
          </w:p>
        </w:tc>
      </w:tr>
      <w:tr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X → T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Premise P₂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Given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 ∧ B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Assumption (for CP)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Assumption</w:t>
            </w:r>
          </w:p>
        </w:tc>
      </w:tr>
      <w:tr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X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Modus Ponens on 1, 3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Inference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Modus Ponens on 2, 4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Inference</w:t>
            </w:r>
          </w:p>
        </w:tc>
      </w:tr>
      <w:tr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(A ∧ B) → T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Conditional Proof 3–5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Conclusion ∎</w:t>
            </w:r>
          </w:p>
        </w:tc>
      </w:tr>
    </w:tbl>
    <w:p>
      <w:pPr>
        <w:jc w:val="center"/>
      </w:pPr>
      <w:r>
        <w:rPr>
          <w:i/>
          <w:color w:val="5A5A5A"/>
          <w:sz w:val="18"/>
        </w:rPr>
        <w:t>Table I-3: Complete proof.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Step 3 assumes A∧B (hypothetical). Steps 4-5 chain via Modus Ponens: symptoms → suspected disease → testing. Step 6 discharges the assumption, yielding the derived Hypothetical Syllogism.</w:t>
      </w:r>
    </w:p>
    <w:p>
      <w:pPr>
        <w:pStyle w:val="Heading1"/>
      </w:pPr>
      <w:r>
        <w:t>7. Diagram / Truth Table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Complete 16-row truth table. Rows where both premises hold are highlighted.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6"/>
        <w:gridCol w:w="1206"/>
        <w:gridCol w:w="1206"/>
        <w:gridCol w:w="1206"/>
        <w:gridCol w:w="1206"/>
        <w:gridCol w:w="1206"/>
        <w:gridCol w:w="1206"/>
        <w:gridCol w:w="1206"/>
      </w:tblGrid>
      <w:tr>
        <w:tc>
          <w:tcPr>
            <w:tcW w:type="dxa" w:w="120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A</w:t>
            </w:r>
          </w:p>
        </w:tc>
        <w:tc>
          <w:tcPr>
            <w:tcW w:type="dxa" w:w="120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B</w:t>
            </w:r>
          </w:p>
        </w:tc>
        <w:tc>
          <w:tcPr>
            <w:tcW w:type="dxa" w:w="120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X</w:t>
            </w:r>
          </w:p>
        </w:tc>
        <w:tc>
          <w:tcPr>
            <w:tcW w:type="dxa" w:w="120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T</w:t>
            </w:r>
          </w:p>
        </w:tc>
        <w:tc>
          <w:tcPr>
            <w:tcW w:type="dxa" w:w="120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A∧B</w:t>
            </w:r>
          </w:p>
        </w:tc>
        <w:tc>
          <w:tcPr>
            <w:tcW w:type="dxa" w:w="120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P₁</w:t>
            </w:r>
          </w:p>
        </w:tc>
        <w:tc>
          <w:tcPr>
            <w:tcW w:type="dxa" w:w="120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P₂</w:t>
            </w:r>
          </w:p>
        </w:tc>
        <w:tc>
          <w:tcPr>
            <w:tcW w:type="dxa" w:w="120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Conclusion</w:t>
            </w:r>
          </w:p>
        </w:tc>
      </w:tr>
      <w:tr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</w:tr>
      <w:tr>
        <w:tc>
          <w:tcPr>
            <w:tcW w:type="dxa" w:w="120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</w:tr>
      <w:tr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</w:tbl>
    <w:p>
      <w:pPr>
        <w:jc w:val="center"/>
      </w:pPr>
      <w:r>
        <w:rPr>
          <w:i/>
          <w:color w:val="5A5A5A"/>
          <w:sz w:val="18"/>
        </w:rPr>
        <w:t>Table I-4: Truth table. Yellow rows: both premises hold (fired case).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Fired rows: Exactly ONE row (T,T,T,T) where both premises are true. The conclusion holds. Vacuous rows (15): at least one premise false; implication holds regardless.</w:t>
      </w:r>
    </w:p>
    <w:p>
      <w:pPr>
        <w:pStyle w:val="Heading1"/>
      </w:pPr>
      <w:r>
        <w:t>8. Interpretation of Results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The truth table confirms validity: in every row where both premises hold, the conclusion holds. No counterexample exists.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ListBullet"/>
        <w:spacing w:after="60"/>
      </w:pPr>
      <w:r>
        <w:t>The rule is structurally correct: no combination of values can make premises true while conclusion fails</w:t>
      </w:r>
    </w:p>
    <w:p>
      <w:pPr>
        <w:pStyle w:val="ListBullet"/>
        <w:spacing w:after="60"/>
      </w:pPr>
      <w:r>
        <w:t>The system never recommends testing without derivation when premises are adopted</w:t>
      </w:r>
    </w:p>
    <w:p>
      <w:pPr>
        <w:pStyle w:val="ListBullet"/>
        <w:spacing w:after="60"/>
      </w:pPr>
      <w:r>
        <w:t>15 vacuous rows = correct 'no alarm' behaviour when conditions aren't met</w:t>
      </w:r>
    </w:p>
    <w:p>
      <w:pPr>
        <w:pStyle w:val="ListBullet"/>
        <w:spacing w:after="60"/>
      </w:pPr>
      <w:r>
        <w:t>Single fired row (T,T,T,T) is the positive pathway animated in the Symptom Checker</w:t>
      </w:r>
    </w:p>
    <w:p>
      <w:pPr>
        <w:pStyle w:val="ListBullet"/>
        <w:spacing w:after="60"/>
      </w:pPr>
      <w:r>
        <w:t>Row 6 (T,T,T,F) shows failure when P₂ is removed: symptoms present, disease suspected, no testing</w:t>
      </w:r>
    </w:p>
    <w:p>
      <w:pPr>
        <w:pStyle w:val="Heading1"/>
      </w:pPr>
      <w:r>
        <w:t>9. Practical Application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The proved chain (A∧B)→X→T is deployed as the Symptom Checker interactive card:</w:t>
      </w:r>
    </w:p>
    <w:p>
      <w:pPr>
        <w:pStyle w:val="ListBullet"/>
        <w:spacing w:after="60"/>
      </w:pPr>
      <w:r>
        <w:t>Toggle switches for symptoms A and B with real-time feedback</w:t>
      </w:r>
    </w:p>
    <w:p>
      <w:pPr>
        <w:pStyle w:val="ListBullet"/>
        <w:spacing w:after="60"/>
      </w:pPr>
      <w:r>
        <w:t>Visual inference strip showing (A∧B)→X→T lighting sequentially</w:t>
      </w:r>
    </w:p>
    <w:p>
      <w:pPr>
        <w:pStyle w:val="ListBullet"/>
        <w:spacing w:after="60"/>
      </w:pPr>
      <w:r>
        <w:t>Vacuous-case explainer when the rule doesn't fire</w:t>
      </w:r>
    </w:p>
    <w:p>
      <w:pPr>
        <w:pStyle w:val="ListBullet"/>
        <w:spacing w:after="60"/>
      </w:pPr>
      <w:r>
        <w:t>All values computed live from the logic engine — never hardcoded</w:t>
      </w:r>
    </w:p>
    <w:p>
      <w:pPr>
        <w:pStyle w:val="Heading1"/>
      </w:pPr>
      <w:r>
        <w:t>10. Innovation / Proposed Improvement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Current limitations and proposed extensions:</w:t>
      </w:r>
    </w:p>
    <w:p>
      <w:pPr>
        <w:spacing w:after="60"/>
      </w:pPr>
      <w:r>
        <w:t>1. Probabilistic Logic: Replace binary propositions with P(X | A∧B) using Bayes' theorem</w:t>
      </w:r>
    </w:p>
    <w:p>
      <w:pPr>
        <w:spacing w:after="60"/>
      </w:pPr>
      <w:r>
        <w:t>2. Temporal Logic (LTL/CTL): Add time indices for symptom onset sequences</w:t>
      </w:r>
    </w:p>
    <w:p>
      <w:pPr>
        <w:spacing w:after="60"/>
      </w:pPr>
      <w:r>
        <w:t>3. Fuzzy Logic: Allow partial membership μ_X(A,B) ∈ [0,1]</w:t>
      </w:r>
    </w:p>
    <w:p>
      <w:pPr>
        <w:spacing w:after="60"/>
      </w:pPr>
      <w:r>
        <w:t>4. Causal Reasoning: Move from correlation to causation using Bayesian networks</w:t>
      </w:r>
    </w:p>
    <w:p>
      <w:pPr>
        <w:spacing w:after="60"/>
      </w:pPr>
      <w:r>
        <w:t>5. Explanation Interface: Surface complete proof trace for clinician override</w:t>
      </w:r>
    </w:p>
    <w:p>
      <w:pPr>
        <w:pStyle w:val="Heading1"/>
      </w:pPr>
      <w:r>
        <w:t>11. Conclusion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The triage rule (A∧B)→T is a valid logical consequence of P₁ and P₂, proved via Hypothetical Syllogism and verified by truth table. The result is deployed in a live interactive demo computing all values in real-time.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Future work extends to probabilistic and temporal models while maintaining formal verification.</w:t>
      </w:r>
    </w:p>
    <w:p>
      <w:pPr>
        <w:pStyle w:val="Heading1"/>
      </w:pPr>
      <w:r>
        <w:t>12. References</w:t>
      </w:r>
    </w:p>
    <w:p>
      <w:pPr>
        <w:spacing w:after="60"/>
      </w:pPr>
      <w:r>
        <w:t>1. Rosen, K.H. Discrete Mathematics and Its Applications, 8th ed. McGraw-Hill, 2019.</w:t>
      </w:r>
    </w:p>
    <w:p>
      <w:pPr>
        <w:spacing w:after="60"/>
      </w:pPr>
      <w:r>
        <w:t>2. EU AI Act, Article 13 — Transparency requirements.</w:t>
      </w:r>
    </w:p>
    <w:p>
      <w:pPr>
        <w:spacing w:after="60"/>
      </w:pPr>
      <w:r>
        <w:t>3. FDA Policy for Device Software Functions and Mobile Medical Applications, 2019.</w:t>
      </w:r>
    </w:p>
    <w:p>
      <w:pPr>
        <w:spacing w:after="60"/>
      </w:pPr>
      <w:r>
        <w:t>4. Lamport, L. How to Write a Proof. CACM, 36(11), 1993.</w:t>
      </w:r>
    </w:p>
    <w:p>
      <w:pPr>
        <w:spacing w:after="60"/>
      </w:pPr>
      <w:r>
        <w:t>5. Ben-Ari, M. Mathematical Logic for Computer Science, 3rd ed. Springer, 2012.</w:t>
      </w:r>
    </w:p>
    <w:p>
      <w:r>
        <w:br/>
      </w:r>
    </w:p>
    <w:p>
      <w:pPr>
        <w:jc w:val="center"/>
      </w:pPr>
      <w:r>
        <w:rPr>
          <w:b/>
          <w:color w:val="1282A2"/>
          <w:sz w:val="36"/>
        </w:rPr>
        <w:t>PART II</w:t>
      </w:r>
    </w:p>
    <w:p>
      <w:pPr>
        <w:jc w:val="center"/>
      </w:pPr>
      <w:r>
        <w:rPr>
          <w:b/>
          <w:sz w:val="40"/>
        </w:rPr>
        <w:t>Unit II — Combinatorics</w:t>
      </w:r>
    </w:p>
    <w:p>
      <w:pPr>
        <w:spacing w:after="120"/>
      </w:pPr>
      <w:r>
        <w:rPr>
          <w:rFonts w:ascii="Calibri" w:hAnsi="Calibri"/>
          <w:b w:val="0"/>
          <w:i/>
          <w:sz w:val="20"/>
        </w:rPr>
        <w:t>Counting Symptom Sets: Combinations, Permutations, and the Power of Subsets</w:t>
      </w:r>
    </w:p>
    <w:p>
      <w:pPr>
        <w:pStyle w:val="Heading1"/>
      </w:pPr>
      <w:r>
        <w:t>1. Title of the Case Study</w:t>
      </w:r>
    </w:p>
    <w:p>
      <w:pPr>
        <w:spacing w:after="120"/>
      </w:pPr>
      <w:r>
        <w:rPr>
          <w:rFonts w:ascii="Calibri" w:hAnsi="Calibri"/>
          <w:b/>
          <w:i w:val="0"/>
          <w:sz w:val="24"/>
        </w:rPr>
        <w:t>Sizing the Search Space for a Symptom-Based Triage Engine: Exactly, At Least, and Ordered Selections from a 12-Symptom Database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 triage engine narrows n=12 symptoms to k=5 for screening. The count depends on policy: combinations (order doesn't matter), permutations (order matters), or subsets (any size ≥5).</w:t>
      </w:r>
    </w:p>
    <w:p>
      <w:pPr>
        <w:pStyle w:val="Heading1"/>
      </w:pPr>
      <w:r>
        <w:t>2. Problem Statement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Given n=12 symptoms, k=5 panel size, compute:</w:t>
      </w:r>
    </w:p>
    <w:p>
      <w:pPr>
        <w:spacing w:after="60"/>
      </w:pPr>
      <w:r>
        <w:t>1. C(12, 5) — exactly 5 distinct subsets</w:t>
      </w:r>
    </w:p>
    <w:p>
      <w:pPr>
        <w:spacing w:after="60"/>
      </w:pPr>
      <w:r>
        <w:t>2. Σ C(12, i) for i=5..12 — subsets with 5 or more symptoms</w:t>
      </w:r>
    </w:p>
    <w:p>
      <w:pPr>
        <w:spacing w:after="60"/>
      </w:pPr>
      <w:r>
        <w:t>3. P(12, 5) — ordered sequences of 5 symptoms</w:t>
      </w:r>
    </w:p>
    <w:p>
      <w:pPr>
        <w:spacing w:after="60"/>
      </w:pPr>
      <w:r>
        <w:t>4. Verify P(n,k) = C(n,k) × k! computationally</w:t>
      </w:r>
    </w:p>
    <w:p>
      <w:pPr>
        <w:spacing w:after="60"/>
      </w:pPr>
      <w:r>
        <w:t>5. Verify 2ⁿ = Σ C(n,k) for k=0..n</w:t>
      </w:r>
    </w:p>
    <w:p>
      <w:pPr>
        <w:pStyle w:val="Heading1"/>
      </w:pPr>
      <w:r>
        <w:t>3. Real-World Context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The 12-symptom database spans 4 body systems: Respiratory (4), Constitutional (4), Dermatological (3), Neurological (1).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Counting matters for: test case generation, UI design (dropdown vs. virtualised list), storage (precomputed diagnoses), clinician cognitive load, and regulatory audit of the search space.</w:t>
      </w:r>
    </w:p>
    <w:p>
      <w:pPr>
        <w:pStyle w:val="Heading1"/>
      </w:pPr>
      <w:r>
        <w:t>4. Mathematical Concept Used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Three core counting concepts: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Concept</w:t>
            </w:r>
          </w:p>
        </w:tc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Formula</w:t>
            </w:r>
          </w:p>
        </w:tc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Description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Combination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C(n,k) = n!/(k!(n-k)!)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Unordered selection without replacement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Permutation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P(n,k) = n!/(n-k)!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Ordered selection without replacement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Power Set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2ⁿ = Σ C(n,k)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Total number of subsets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Complement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Σ_{i≥k} C(n,i) = 2ⁿ - Σ_{i&lt;k} C(n,i)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At-least-k via subtraction</w:t>
            </w:r>
          </w:p>
        </w:tc>
      </w:tr>
    </w:tbl>
    <w:p>
      <w:pPr>
        <w:jc w:val="center"/>
      </w:pPr>
      <w:r>
        <w:rPr>
          <w:i/>
          <w:color w:val="5A5A5A"/>
          <w:sz w:val="18"/>
        </w:rPr>
        <w:t>Table II-1: Counting concepts.</w:t>
      </w:r>
    </w:p>
    <w:p>
      <w:pPr>
        <w:pStyle w:val="Heading1"/>
      </w:pPr>
      <w:r>
        <w:t>5. Mathematical Formulation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Parameters: n=12, k=5.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Exactly 5: C(12,5) = 12!/(5!×7!) = 95,040/120 = 792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At least 5: 2¹² - (1+12+66+220+495) = 4,096 - 794 = 3,302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Ordered 5: P(12,5) = 12!/7! = 95,040 = 792 × 120</w:t>
      </w:r>
    </w:p>
    <w:p>
      <w:pPr>
        <w:pStyle w:val="Heading1"/>
      </w:pPr>
      <w:r>
        <w:t>6. Analysis / Solution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Detailed computation of C(12,5):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= (12 × 11 × 10 × 9 × 8) / (5 × 4 × 3 × 2 × 1)</w:t>
      </w:r>
    </w:p>
    <w:p>
      <w:pPr>
        <w:spacing w:after="120"/>
      </w:pPr>
      <w:r>
        <w:rPr>
          <w:rFonts w:ascii="Calibri" w:hAnsi="Calibri"/>
          <w:b/>
          <w:i w:val="0"/>
          <w:sz w:val="24"/>
        </w:rPr>
        <w:t>= 95,040 / 120 = 792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At least 5 via complement: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i</w:t>
            </w:r>
          </w:p>
        </w:tc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C(12,i)</w:t>
            </w:r>
          </w:p>
        </w:tc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Cumulative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66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79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220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299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495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794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792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1,586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924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2,510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792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3,302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495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3,797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220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4,017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66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4,083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4,095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4,096</w:t>
            </w:r>
          </w:p>
        </w:tc>
      </w:tr>
    </w:tbl>
    <w:p>
      <w:pPr>
        <w:jc w:val="center"/>
      </w:pPr>
      <w:r>
        <w:rPr>
          <w:i/>
          <w:color w:val="5A5A5A"/>
          <w:sz w:val="18"/>
        </w:rPr>
        <w:t>Table II-2: All C(12,i) with cumulative sums.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At least 5 = 4,096 - 794 = 3,302. Cross-check: 792+924+792+495+220+66+12+1 = 3,302 ✓</w:t>
      </w:r>
    </w:p>
    <w:p>
      <w:pPr>
        <w:pStyle w:val="Heading1"/>
      </w:pPr>
      <w:r>
        <w:t>7. Diagram / 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Policy</w:t>
            </w:r>
          </w:p>
        </w:tc>
        <w:tc>
          <w:tcPr>
            <w:tcW w:type="dxa" w:w="2412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Formula</w:t>
            </w:r>
          </w:p>
        </w:tc>
        <w:tc>
          <w:tcPr>
            <w:tcW w:type="dxa" w:w="2412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Count</w:t>
            </w:r>
          </w:p>
        </w:tc>
        <w:tc>
          <w:tcPr>
            <w:tcW w:type="dxa" w:w="2412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Use Case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Exactly 5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C(12,5)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792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Fixed screening panel</w:t>
            </w:r>
          </w:p>
        </w:tc>
      </w:tr>
      <w:tr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At least 5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Σ C(12,i), i≥5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3,302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Flexible panel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Ordered 5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P(12,5)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95,040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Ranked severity</w:t>
            </w:r>
          </w:p>
        </w:tc>
      </w:tr>
      <w:tr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All subsets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2¹²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4,096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Full power set</w:t>
            </w:r>
          </w:p>
        </w:tc>
      </w:tr>
    </w:tbl>
    <w:p>
      <w:pPr>
        <w:jc w:val="center"/>
      </w:pPr>
      <w:r>
        <w:rPr>
          <w:i/>
          <w:color w:val="5A5A5A"/>
          <w:sz w:val="18"/>
        </w:rPr>
        <w:t>Table II-3: Policy comparison.</w:t>
      </w:r>
    </w:p>
    <w:p>
      <w:pPr>
        <w:pStyle w:val="Heading1"/>
      </w:pPr>
      <w:r>
        <w:t>8. Interpretation of Results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792 makes exhaustive QA feasible. 3,302 bounds curation effort (4.17× cost). 95,040 warns against naive ranking UIs (needs virtualised rendering). The 5! multiplier (120×) is the price of ordering.</w:t>
      </w:r>
    </w:p>
    <w:p>
      <w:pPr>
        <w:pStyle w:val="Heading1"/>
      </w:pPr>
      <w:r>
        <w:t>9. Practical Application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The Combination Calculator panel with n/k sliders, live exact integer arithmetic, consistency check P(n,k)=C(n,k)×k!, and proportional bar charts.</w:t>
      </w:r>
    </w:p>
    <w:p>
      <w:pPr>
        <w:pStyle w:val="Heading1"/>
      </w:pPr>
      <w:r>
        <w:t>10. Innovation / Proposed Improvement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For n≈50: C(50,5)=2.1M (manageable), Σ≥5≈10¹⁵ (intractable), P(50,5)=254M (too large for UI).</w:t>
      </w:r>
    </w:p>
    <w:p>
      <w:pPr>
        <w:spacing w:after="60"/>
      </w:pPr>
      <w:r>
        <w:t>1. Inclusion–exclusion for large n at-least-k queries</w:t>
      </w:r>
    </w:p>
    <w:p>
      <w:pPr>
        <w:spacing w:after="60"/>
      </w:pPr>
      <w:r>
        <w:t>2. Weighted counting with symptom-frequency priors</w:t>
      </w:r>
    </w:p>
    <w:p>
      <w:pPr>
        <w:spacing w:after="60"/>
      </w:pPr>
      <w:r>
        <w:t>3. Stirling's approximation for large-n estimates</w:t>
      </w:r>
    </w:p>
    <w:p>
      <w:pPr>
        <w:spacing w:after="60"/>
      </w:pPr>
      <w:r>
        <w:t>4. Database-driven enumeration with indexed lookups</w:t>
      </w:r>
    </w:p>
    <w:p>
      <w:pPr>
        <w:spacing w:after="60"/>
      </w:pPr>
      <w:r>
        <w:t>5. Monte Carlo sampling for probabilistic selection</w:t>
      </w:r>
    </w:p>
    <w:p>
      <w:pPr>
        <w:pStyle w:val="Heading1"/>
      </w:pPr>
      <w:r>
        <w:t>11. Conclusion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C(12,5)=792, Σ≥5=3,302, P(12,5)=95,040. The identity P=C×k! verified computationally. Exact counting keeps the system auditable and the UI honest.</w:t>
      </w:r>
    </w:p>
    <w:p>
      <w:pPr>
        <w:pStyle w:val="Heading1"/>
      </w:pPr>
      <w:r>
        <w:t>12. References</w:t>
      </w:r>
    </w:p>
    <w:p>
      <w:pPr>
        <w:spacing w:after="60"/>
      </w:pPr>
      <w:r>
        <w:t>1. Rosen, K.H. Discrete Mathematics, 8th ed. Chapter 6 (Counting).</w:t>
      </w:r>
    </w:p>
    <w:p>
      <w:pPr>
        <w:spacing w:after="60"/>
      </w:pPr>
      <w:r>
        <w:t>2. Graham, Knuth, Patashnik. Concrete Mathematics, 2nd ed.</w:t>
      </w:r>
    </w:p>
    <w:p>
      <w:pPr>
        <w:spacing w:after="60"/>
      </w:pPr>
      <w:r>
        <w:t>3. Knuth, D.E. The Art of Computer Programming, Vol. 1.</w:t>
      </w:r>
    </w:p>
    <w:p>
      <w:pPr>
        <w:spacing w:after="60"/>
      </w:pPr>
      <w:r>
        <w:t>4. Pólya, G. How to Solve It. Princeton, 1945.</w:t>
      </w:r>
    </w:p>
    <w:p>
      <w:r>
        <w:br/>
      </w:r>
    </w:p>
    <w:p>
      <w:pPr>
        <w:jc w:val="center"/>
      </w:pPr>
      <w:r>
        <w:rPr>
          <w:b/>
          <w:color w:val="1282A2"/>
          <w:sz w:val="36"/>
        </w:rPr>
        <w:t>PART III</w:t>
      </w:r>
    </w:p>
    <w:p>
      <w:pPr>
        <w:jc w:val="center"/>
      </w:pPr>
      <w:r>
        <w:rPr>
          <w:b/>
          <w:sz w:val="40"/>
        </w:rPr>
        <w:t>Unit III — Graphs &amp; Isomorphism</w:t>
      </w:r>
    </w:p>
    <w:p>
      <w:pPr>
        <w:spacing w:after="120"/>
      </w:pPr>
      <w:r>
        <w:rPr>
          <w:rFonts w:ascii="Calibri" w:hAnsi="Calibri"/>
          <w:b w:val="0"/>
          <w:i/>
          <w:sz w:val="20"/>
        </w:rPr>
        <w:t>Bipartite Knowledge Graphs and Permutation-Similarity Certificates</w:t>
      </w:r>
    </w:p>
    <w:p>
      <w:pPr>
        <w:pStyle w:val="Heading1"/>
      </w:pPr>
      <w:r>
        <w:t>1. Title of the Case Study</w:t>
      </w:r>
    </w:p>
    <w:p>
      <w:pPr>
        <w:spacing w:after="120"/>
      </w:pPr>
      <w:r>
        <w:rPr>
          <w:rFonts w:ascii="Calibri" w:hAnsi="Calibri"/>
          <w:b/>
          <w:i w:val="0"/>
          <w:sz w:val="24"/>
        </w:rPr>
        <w:t>Modelling Symptom-Disease Knowledge as a Bipartite Graph and Proving Isomorphism Between Two Representations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Medical knowledge bases represent symptom-disease relationships as networks. We model such a knowledge base as bipartite graph G=(S∪D,E) and prove that two visually distinct drawings encode the same knowledge — they are isomorphic.</w:t>
      </w:r>
    </w:p>
    <w:p>
      <w:pPr>
        <w:pStyle w:val="Heading1"/>
      </w:pPr>
      <w:r>
        <w:t>2. Problem Statement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Two editors maintain the same knowledge base in different tools (bipartite vs. circular layout). The reviewer must determine:</w:t>
      </w:r>
    </w:p>
    <w:p>
      <w:pPr>
        <w:spacing w:after="60"/>
      </w:pPr>
      <w:r>
        <w:t>1. Is G₁ ≅ G₂? (Are they isomorphic?)</w:t>
      </w:r>
    </w:p>
    <w:p>
      <w:pPr>
        <w:spacing w:after="60"/>
      </w:pPr>
      <w:r>
        <w:t>2. What invariants can we check?</w:t>
      </w:r>
    </w:p>
    <w:p>
      <w:pPr>
        <w:spacing w:after="60"/>
      </w:pPr>
      <w:r>
        <w:t>3. Can we exhibit an edge-preserving bijection f?</w:t>
      </w:r>
    </w:p>
    <w:p>
      <w:pPr>
        <w:spacing w:after="60"/>
      </w:pPr>
      <w:r>
        <w:t>4. Can we produce algebraic certificate A₂ = P·A₁·Pᵀ?</w:t>
      </w:r>
    </w:p>
    <w:p>
      <w:pPr>
        <w:spacing w:after="60"/>
      </w:pPr>
      <w:r>
        <w:t>5. What is the practical significance?</w:t>
      </w:r>
    </w:p>
    <w:p>
      <w:pPr>
        <w:pStyle w:val="Heading1"/>
      </w:pPr>
      <w:r>
        <w:t>3. Real-World Context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In hospitals, knowledge bases are maintained by multiple editors using different tools (Neo4j, spreadsheets, clinical systems). Merging requires proving isomorphism.</w:t>
      </w:r>
    </w:p>
    <w:p>
      <w:pPr>
        <w:pStyle w:val="ListBullet"/>
        <w:spacing w:after="60"/>
      </w:pPr>
      <w:r>
        <w:t>De-duplication: prevent counting the same rule twice</w:t>
      </w:r>
    </w:p>
    <w:p>
      <w:pPr>
        <w:pStyle w:val="ListBullet"/>
        <w:spacing w:after="60"/>
      </w:pPr>
      <w:r>
        <w:t>Conflict detection: non-isomorphic graphs flag real conflicts</w:t>
      </w:r>
    </w:p>
    <w:p>
      <w:pPr>
        <w:pStyle w:val="ListBullet"/>
        <w:spacing w:after="60"/>
      </w:pPr>
      <w:r>
        <w:t>Version control: track edge changes, not layout changes</w:t>
      </w:r>
    </w:p>
    <w:p>
      <w:pPr>
        <w:pStyle w:val="ListBullet"/>
        <w:spacing w:after="60"/>
      </w:pPr>
      <w:r>
        <w:t>Regulatory: one knowledge entry per isomorphism class</w:t>
      </w:r>
    </w:p>
    <w:p>
      <w:pPr>
        <w:pStyle w:val="Heading1"/>
      </w:pPr>
      <w:r>
        <w:t>4. Mathematical Concept Used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Concept</w:t>
            </w:r>
          </w:p>
        </w:tc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Definition</w:t>
            </w:r>
          </w:p>
        </w:tc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Relevance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Bipartite graph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V=S∪D, E⊆S×D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Symptoms don't connect to symptoms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Degree deg(v)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Edges incident to v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Invariant for isomorphism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Handshake lemma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Σ deg(v) = 2|E|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Verification check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Isomorphism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Bijection preserving adjacency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Core question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Biadjacency matrix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A[i,j]=1 iff (sᵢ,dⱼ)∈E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Algebraic representation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Permutation matrix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One 1 per row/column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Reordering certificate</w:t>
            </w:r>
          </w:p>
        </w:tc>
      </w:tr>
    </w:tbl>
    <w:p>
      <w:pPr>
        <w:jc w:val="center"/>
      </w:pPr>
      <w:r>
        <w:rPr>
          <w:i/>
          <w:color w:val="5A5A5A"/>
          <w:sz w:val="18"/>
        </w:rPr>
        <w:t>Table III-1: Graph theory concepts.</w:t>
      </w:r>
    </w:p>
    <w:p>
      <w:pPr>
        <w:pStyle w:val="Heading1"/>
      </w:pPr>
      <w:r>
        <w:t>5. Mathematical Formulation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G=(V,E): V=S∪D, S={S₁Fever,S₂Cough,S₃Rash,S₄Fatigue}, D={D₁Influenza,D₂Measles,D₃Anemia}, |V|=7.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E={S₁D₁,S₁D₂,S₂D₁,S₃D₂,S₄D₁,S₄D₃}, |E|=6.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Degrees: S₁=2,S₂=1,S₃=1,S₄=2,D₁=3,D₂=2,D₃=1. Sequence (sorted): (3,2,2,2,1,1,1).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Handshake: Σ=12=2×6=2|E| ✓</w:t>
      </w:r>
    </w:p>
    <w:p>
      <w:pPr>
        <w:pStyle w:val="Heading1"/>
      </w:pPr>
      <w:r>
        <w:t>6. Analysis / Solution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Step 1 — Invariant comparison: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Invariant</w:t>
            </w:r>
          </w:p>
        </w:tc>
        <w:tc>
          <w:tcPr>
            <w:tcW w:type="dxa" w:w="2412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G₁</w:t>
            </w:r>
          </w:p>
        </w:tc>
        <w:tc>
          <w:tcPr>
            <w:tcW w:type="dxa" w:w="2412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G₂</w:t>
            </w:r>
          </w:p>
        </w:tc>
        <w:tc>
          <w:tcPr>
            <w:tcW w:type="dxa" w:w="2412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Match?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|V|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✓</w:t>
            </w:r>
          </w:p>
        </w:tc>
      </w:tr>
      <w:tr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|E|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✓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Degree seq.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(3,2,2,2,1,1,1)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(3,2,2,2,1,1,1)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✓</w:t>
            </w:r>
          </w:p>
        </w:tc>
      </w:tr>
      <w:tr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Bipartite?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Yes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Yes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✓</w:t>
            </w:r>
          </w:p>
        </w:tc>
      </w:tr>
    </w:tbl>
    <w:p>
      <w:pPr>
        <w:jc w:val="center"/>
      </w:pPr>
      <w:r>
        <w:rPr>
          <w:i/>
          <w:color w:val="5A5A5A"/>
          <w:sz w:val="18"/>
        </w:rPr>
        <w:t>Table III-2: Invariants match.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Step 2 — Edge-preserving bijection: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Edge in G₁</w:t>
            </w:r>
          </w:p>
        </w:tc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Image under f</w:t>
            </w:r>
          </w:p>
        </w:tc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In G₂?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{S₁,D₁}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{S₁',D₁'}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✓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{S₁,D₂}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{S₁',D₂'}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✓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{S₂,D₁}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{S₂',D₁'}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✓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{S₃,D₂}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{S₃',D₂'}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✓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{S₄,D₁}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{S₄',D₁'}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✓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{S₄,D₃}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{S₄',D₃'}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✓</w:t>
            </w:r>
          </w:p>
        </w:tc>
      </w:tr>
    </w:tbl>
    <w:p>
      <w:pPr>
        <w:jc w:val="center"/>
      </w:pPr>
      <w:r>
        <w:rPr>
          <w:i/>
          <w:color w:val="5A5A5A"/>
          <w:sz w:val="18"/>
        </w:rPr>
        <w:t>Table III-3: All 6 edges preserved.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Step 3 — Algebraic certificate: A₂ = P_S · A₁ · P_Dᵀ where P_S and P_D are reversal permutation matrices. ∎</w:t>
      </w:r>
    </w:p>
    <w:p>
      <w:pPr>
        <w:pStyle w:val="Heading1"/>
      </w:pPr>
      <w:r>
        <w:t>7. Diagram / Graph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Edge list with clinical semantics: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#</w:t>
            </w:r>
          </w:p>
        </w:tc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Edge</w:t>
            </w:r>
          </w:p>
        </w:tc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Meaning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S₁—D₁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Fever indicates Influenza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S₁—D₂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Fever indicates Measles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S₂—D₁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Cough indicates Influenza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S₃—D₂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Rash indicates Measles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S₄—D₁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Fatigue indicates Influenza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S₄—D₃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Fatigue indicates Anemia</w:t>
            </w:r>
          </w:p>
        </w:tc>
      </w:tr>
    </w:tbl>
    <w:p>
      <w:pPr>
        <w:jc w:val="center"/>
      </w:pPr>
      <w:r>
        <w:rPr>
          <w:i/>
          <w:color w:val="5A5A5A"/>
          <w:sz w:val="18"/>
        </w:rPr>
        <w:t>Table III-4: Edge list.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Biadjacency matrices A₁ and A₂ verified equal under permutation: A₂ = P_S·A₁·P_Dᵀ.</w:t>
      </w:r>
    </w:p>
    <w:p>
      <w:pPr>
        <w:pStyle w:val="Heading1"/>
      </w:pPr>
      <w:r>
        <w:t>8. Interpretation of Results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Isomorphism proves two visual representations encode the same knowledge. Layout carries NO structural information.</w:t>
      </w:r>
    </w:p>
    <w:p>
      <w:pPr>
        <w:pStyle w:val="ListBullet"/>
        <w:spacing w:after="60"/>
      </w:pPr>
      <w:r>
        <w:t>Graph databases store adjacency lists, not coordinates</w:t>
      </w:r>
    </w:p>
    <w:p>
      <w:pPr>
        <w:pStyle w:val="ListBullet"/>
        <w:spacing w:after="60"/>
      </w:pPr>
      <w:r>
        <w:t>Layout algorithms are purely aesthetic</w:t>
      </w:r>
    </w:p>
    <w:p>
      <w:pPr>
        <w:pStyle w:val="ListBullet"/>
        <w:spacing w:after="60"/>
      </w:pPr>
      <w:r>
        <w:t>Version control tracks edges, not layout</w:t>
      </w:r>
    </w:p>
    <w:p>
      <w:pPr>
        <w:pStyle w:val="ListBullet"/>
        <w:spacing w:after="60"/>
      </w:pPr>
      <w:r>
        <w:t>Non-isomorphic graphs flag real knowledge conflicts</w:t>
      </w:r>
    </w:p>
    <w:p>
      <w:pPr>
        <w:pStyle w:val="Heading1"/>
      </w:pPr>
      <w:r>
        <w:t>9. Practical Application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Isomorphism Explorer: two SVG renderings, toggle animation with spring physics, click vertex to highlight incident edges, invariant comparison panel, isomorphic badge.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2-hop diagnosis: Patient→Symptom→Disease. Bipartite structure enables path-based reasoning.</w:t>
      </w:r>
    </w:p>
    <w:p>
      <w:pPr>
        <w:pStyle w:val="Heading1"/>
      </w:pPr>
      <w:r>
        <w:t>10. Innovation / Proposed Improvement</w:t>
      </w:r>
    </w:p>
    <w:p>
      <w:pPr>
        <w:spacing w:after="60"/>
      </w:pPr>
      <w:r>
        <w:t>1. Graph database (Neo4j) with automated canonical labelling (nauty/Bliss)</w:t>
      </w:r>
    </w:p>
    <w:p>
      <w:pPr>
        <w:spacing w:after="60"/>
      </w:pPr>
      <w:r>
        <w:t>2. 3-partite extension: Patient→Symptom→Disease for personalised diagnosis</w:t>
      </w:r>
    </w:p>
    <w:p>
      <w:pPr>
        <w:spacing w:after="60"/>
      </w:pPr>
      <w:r>
        <w:t>3. Weighted edges: w(s,d) = sensitivity for probabilistic diagnosis</w:t>
      </w:r>
    </w:p>
    <w:p>
      <w:pPr>
        <w:spacing w:after="60"/>
      </w:pPr>
      <w:r>
        <w:t>4. Temporal graphs: (s,d,t) for onset-time reasoning</w:t>
      </w:r>
    </w:p>
    <w:p>
      <w:pPr>
        <w:spacing w:after="60"/>
      </w:pPr>
      <w:r>
        <w:t>5. CI integration: continuous isomorphism detection via Weisfeiler-Lehman test</w:t>
      </w:r>
    </w:p>
    <w:p>
      <w:pPr>
        <w:pStyle w:val="Heading1"/>
      </w:pPr>
      <w:r>
        <w:t>11. Conclusion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G₁≅G₂ proved via invariant matching, explicit bijection, and algebraic certificate A₂=P_S·A₁·P_Dᵀ. Graph structure — not visual layout — is the invariant for knowledge representation.</w:t>
      </w:r>
    </w:p>
    <w:p>
      <w:pPr>
        <w:pStyle w:val="Heading1"/>
      </w:pPr>
      <w:r>
        <w:t>12. References</w:t>
      </w:r>
    </w:p>
    <w:p>
      <w:pPr>
        <w:spacing w:after="60"/>
      </w:pPr>
      <w:r>
        <w:t>1. Rosen, K.H. Discrete Mathematics, 8th ed. Chapter 10 (Graphs).</w:t>
      </w:r>
    </w:p>
    <w:p>
      <w:pPr>
        <w:spacing w:after="60"/>
      </w:pPr>
      <w:r>
        <w:t>2. Bondy &amp; Murty. Graph Theory with Applications. Macmillan, 1976.</w:t>
      </w:r>
    </w:p>
    <w:p>
      <w:pPr>
        <w:spacing w:after="60"/>
      </w:pPr>
      <w:r>
        <w:t>3. McKay &amp; Piperno. Practical Graph Isomorphism, II. JSC, 2014.</w:t>
      </w:r>
    </w:p>
    <w:p>
      <w:pPr>
        <w:spacing w:after="60"/>
      </w:pPr>
      <w:r>
        <w:t>4. Babai, L. Graph Isomorphism in Quasipolynomial Time. STOC, 2016.</w:t>
      </w:r>
    </w:p>
    <w:p>
      <w:pPr>
        <w:spacing w:after="60"/>
      </w:pPr>
      <w:r>
        <w:t>5. Neo4j Graph Database — https://neo4j.com/</w:t>
      </w:r>
    </w:p>
    <w:p>
      <w:r>
        <w:br/>
      </w:r>
    </w:p>
    <w:p>
      <w:pPr>
        <w:spacing w:before="360"/>
        <w:shd w:fill="E8EEF7"/>
        <w:jc w:val="center"/>
      </w:pPr>
      <w:r>
        <w:rPr>
          <w:i/>
          <w:color w:val="3C3C3C"/>
          <w:sz w:val="18"/>
        </w:rPr>
        <w:t>All mathematical computations, proofs, and counts in this report are computationally verified and can be interactively tested at https://ai-medical-diagnosis-site.vercel.app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