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PHASE 2 — REQUIREMENT ANALYSIS</w:t>
      </w:r>
    </w:p>
    <w:p>
      <w:pPr>
        <w:jc w:val="center"/>
      </w:pPr>
      <w:r>
        <w:rPr>
          <w:b/>
          <w:sz w:val="30"/>
        </w:rPr>
        <w:t>Incident Lifecycle Automation in ServiceNow</w:t>
      </w:r>
    </w:p>
    <w:p>
      <w:pPr>
        <w:jc w:val="center"/>
      </w:pPr>
      <w:r>
        <w:rPr>
          <w:i/>
        </w:rPr>
        <w:t>Business, functional, non-functional and validation requirements</w:t>
      </w:r>
    </w:p>
    <w:p/>
    <w:p>
      <w:pPr>
        <w:pStyle w:val="Heading1"/>
      </w:pPr>
      <w:r>
        <w:t>2.1 Purpose</w:t>
      </w:r>
    </w:p>
    <w:p>
      <w:r>
        <w:t>The Requirement Analysis Phase translates the project idea into measurable business, functional, technical, security, and operational requirements. These requirements provide the baseline for design, development, and testing.</w:t>
      </w:r>
    </w:p>
    <w:p>
      <w:pPr>
        <w:pStyle w:val="Heading1"/>
      </w:pPr>
      <w:r>
        <w:t>2.2 Business Objectives</w:t>
      </w:r>
    </w:p>
    <w:p>
      <w:pPr>
        <w:pStyle w:val="ListNumber"/>
      </w:pPr>
      <w:r>
        <w:t>Standardize the incident lifecycle from creation to closure.</w:t>
      </w:r>
    </w:p>
    <w:p>
      <w:pPr>
        <w:pStyle w:val="ListNumber"/>
      </w:pPr>
      <w:r>
        <w:t>Reduce manual effort in incident routing and repetitive processing.</w:t>
      </w:r>
    </w:p>
    <w:p>
      <w:pPr>
        <w:pStyle w:val="ListNumber"/>
      </w:pPr>
      <w:r>
        <w:t>Improve assignment accuracy and response time.</w:t>
      </w:r>
    </w:p>
    <w:p>
      <w:pPr>
        <w:pStyle w:val="ListNumber"/>
      </w:pPr>
      <w:r>
        <w:t>Improve visibility into SLA performance.</w:t>
      </w:r>
    </w:p>
    <w:p>
      <w:pPr>
        <w:pStyle w:val="ListNumber"/>
      </w:pPr>
      <w:r>
        <w:t>Provide clear ownership and accountability for incidents.</w:t>
      </w:r>
    </w:p>
    <w:p>
      <w:pPr>
        <w:pStyle w:val="ListNumber"/>
      </w:pPr>
      <w:r>
        <w:t>Improve communication between users and support teams.</w:t>
      </w:r>
    </w:p>
    <w:p>
      <w:pPr>
        <w:pStyle w:val="ListNumber"/>
      </w:pPr>
      <w:r>
        <w:t>Support consistent resolution and closure practices.</w:t>
      </w:r>
    </w:p>
    <w:p>
      <w:pPr>
        <w:pStyle w:val="Heading1"/>
      </w:pPr>
      <w:r>
        <w:t>2.3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Requirement</w:t>
            </w:r>
          </w:p>
        </w:tc>
        <w:tc>
          <w:tcPr>
            <w:tcW w:type="dxa" w:w="3264"/>
          </w:tcPr>
          <w:p>
            <w:r>
              <w:t>Description</w:t>
            </w:r>
          </w:p>
        </w:tc>
      </w:tr>
      <w:tr>
        <w:tc>
          <w:tcPr>
            <w:tcW w:type="dxa" w:w="3264"/>
          </w:tcPr>
          <w:p>
            <w:r>
              <w:t>FR-01</w:t>
            </w:r>
          </w:p>
        </w:tc>
        <w:tc>
          <w:tcPr>
            <w:tcW w:type="dxa" w:w="3264"/>
          </w:tcPr>
          <w:p>
            <w:r>
              <w:t>Incident Creation</w:t>
            </w:r>
          </w:p>
        </w:tc>
        <w:tc>
          <w:tcPr>
            <w:tcW w:type="dxa" w:w="3264"/>
          </w:tcPr>
          <w:p>
            <w:r>
              <w:t>Authorized users/agents must be able to create incidents with required information.</w:t>
            </w:r>
          </w:p>
        </w:tc>
      </w:tr>
      <w:tr>
        <w:tc>
          <w:tcPr>
            <w:tcW w:type="dxa" w:w="3264"/>
          </w:tcPr>
          <w:p>
            <w:r>
              <w:t>FR-02</w:t>
            </w:r>
          </w:p>
        </w:tc>
        <w:tc>
          <w:tcPr>
            <w:tcW w:type="dxa" w:w="3264"/>
          </w:tcPr>
          <w:p>
            <w:r>
              <w:t>Incident Categorization</w:t>
            </w:r>
          </w:p>
        </w:tc>
        <w:tc>
          <w:tcPr>
            <w:tcW w:type="dxa" w:w="3264"/>
          </w:tcPr>
          <w:p>
            <w:r>
              <w:t>Incidents must support category and subcategory classification.</w:t>
            </w:r>
          </w:p>
        </w:tc>
      </w:tr>
      <w:tr>
        <w:tc>
          <w:tcPr>
            <w:tcW w:type="dxa" w:w="3264"/>
          </w:tcPr>
          <w:p>
            <w:r>
              <w:t>FR-03</w:t>
            </w:r>
          </w:p>
        </w:tc>
        <w:tc>
          <w:tcPr>
            <w:tcW w:type="dxa" w:w="3264"/>
          </w:tcPr>
          <w:p>
            <w:r>
              <w:t>Priority Management</w:t>
            </w:r>
          </w:p>
        </w:tc>
        <w:tc>
          <w:tcPr>
            <w:tcW w:type="dxa" w:w="3264"/>
          </w:tcPr>
          <w:p>
            <w:r>
              <w:t>Impact and urgency must support appropriate priority determination.</w:t>
            </w:r>
          </w:p>
        </w:tc>
      </w:tr>
      <w:tr>
        <w:tc>
          <w:tcPr>
            <w:tcW w:type="dxa" w:w="3264"/>
          </w:tcPr>
          <w:p>
            <w:r>
              <w:t>FR-04</w:t>
            </w:r>
          </w:p>
        </w:tc>
        <w:tc>
          <w:tcPr>
            <w:tcW w:type="dxa" w:w="3264"/>
          </w:tcPr>
          <w:p>
            <w:r>
              <w:t>Assignment</w:t>
            </w:r>
          </w:p>
        </w:tc>
        <w:tc>
          <w:tcPr>
            <w:tcW w:type="dxa" w:w="3264"/>
          </w:tcPr>
          <w:p>
            <w:r>
              <w:t>Incidents must be routed to the appropriate assignment group and agent.</w:t>
            </w:r>
          </w:p>
        </w:tc>
      </w:tr>
      <w:tr>
        <w:tc>
          <w:tcPr>
            <w:tcW w:type="dxa" w:w="3264"/>
          </w:tcPr>
          <w:p>
            <w:r>
              <w:t>FR-05</w:t>
            </w:r>
          </w:p>
        </w:tc>
        <w:tc>
          <w:tcPr>
            <w:tcW w:type="dxa" w:w="3264"/>
          </w:tcPr>
          <w:p>
            <w:r>
              <w:t>SLA Tracking</w:t>
            </w:r>
          </w:p>
        </w:tc>
        <w:tc>
          <w:tcPr>
            <w:tcW w:type="dxa" w:w="3264"/>
          </w:tcPr>
          <w:p>
            <w:r>
              <w:t>Applicable incidents must be monitored against configured SLA targets.</w:t>
            </w:r>
          </w:p>
        </w:tc>
      </w:tr>
      <w:tr>
        <w:tc>
          <w:tcPr>
            <w:tcW w:type="dxa" w:w="3264"/>
          </w:tcPr>
          <w:p>
            <w:r>
              <w:t>FR-06</w:t>
            </w:r>
          </w:p>
        </w:tc>
        <w:tc>
          <w:tcPr>
            <w:tcW w:type="dxa" w:w="3264"/>
          </w:tcPr>
          <w:p>
            <w:r>
              <w:t>Notifications</w:t>
            </w:r>
          </w:p>
        </w:tc>
        <w:tc>
          <w:tcPr>
            <w:tcW w:type="dxa" w:w="3264"/>
          </w:tcPr>
          <w:p>
            <w:r>
              <w:t>Important incident events should generate appropriate notifications.</w:t>
            </w:r>
          </w:p>
        </w:tc>
      </w:tr>
      <w:tr>
        <w:tc>
          <w:tcPr>
            <w:tcW w:type="dxa" w:w="3264"/>
          </w:tcPr>
          <w:p>
            <w:r>
              <w:t>FR-07</w:t>
            </w:r>
          </w:p>
        </w:tc>
        <w:tc>
          <w:tcPr>
            <w:tcW w:type="dxa" w:w="3264"/>
          </w:tcPr>
          <w:p>
            <w:r>
              <w:t>Lifecycle Control</w:t>
            </w:r>
          </w:p>
        </w:tc>
        <w:tc>
          <w:tcPr>
            <w:tcW w:type="dxa" w:w="3264"/>
          </w:tcPr>
          <w:p>
            <w:r>
              <w:t>Incidents must move through defined states such as New, In Progress, On Hold, Resolved, and Closed.</w:t>
            </w:r>
          </w:p>
        </w:tc>
      </w:tr>
      <w:tr>
        <w:tc>
          <w:tcPr>
            <w:tcW w:type="dxa" w:w="3264"/>
          </w:tcPr>
          <w:p>
            <w:r>
              <w:t>FR-08</w:t>
            </w:r>
          </w:p>
        </w:tc>
        <w:tc>
          <w:tcPr>
            <w:tcW w:type="dxa" w:w="3264"/>
          </w:tcPr>
          <w:p>
            <w:r>
              <w:t>Related Records</w:t>
            </w:r>
          </w:p>
        </w:tc>
        <w:tc>
          <w:tcPr>
            <w:tcW w:type="dxa" w:w="3264"/>
          </w:tcPr>
          <w:p>
            <w:r>
              <w:t>Agents must be able to view related records such as child incidents and Task SLAs where configured.</w:t>
            </w:r>
          </w:p>
        </w:tc>
      </w:tr>
      <w:tr>
        <w:tc>
          <w:tcPr>
            <w:tcW w:type="dxa" w:w="3264"/>
          </w:tcPr>
          <w:p>
            <w:r>
              <w:t>FR-09</w:t>
            </w:r>
          </w:p>
        </w:tc>
        <w:tc>
          <w:tcPr>
            <w:tcW w:type="dxa" w:w="3264"/>
          </w:tcPr>
          <w:p>
            <w:r>
              <w:t>Resolution</w:t>
            </w:r>
          </w:p>
        </w:tc>
        <w:tc>
          <w:tcPr>
            <w:tcW w:type="dxa" w:w="3264"/>
          </w:tcPr>
          <w:p>
            <w:r>
              <w:t>Agents must record resolution information before completing the resolution stage.</w:t>
            </w:r>
          </w:p>
        </w:tc>
      </w:tr>
      <w:tr>
        <w:tc>
          <w:tcPr>
            <w:tcW w:type="dxa" w:w="3264"/>
          </w:tcPr>
          <w:p>
            <w:r>
              <w:t>FR-10</w:t>
            </w:r>
          </w:p>
        </w:tc>
        <w:tc>
          <w:tcPr>
            <w:tcW w:type="dxa" w:w="3264"/>
          </w:tcPr>
          <w:p>
            <w:r>
              <w:t>Closure</w:t>
            </w:r>
          </w:p>
        </w:tc>
        <w:tc>
          <w:tcPr>
            <w:tcW w:type="dxa" w:w="3264"/>
          </w:tcPr>
          <w:p>
            <w:r>
              <w:t>Incidents must satisfy configured closure conditions before final closure.</w:t>
            </w:r>
          </w:p>
        </w:tc>
      </w:tr>
    </w:tbl>
    <w:p>
      <w:pPr>
        <w:pStyle w:val="Heading1"/>
      </w:pPr>
      <w:r>
        <w:t>2.4 Example Incident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Example</w:t>
            </w:r>
          </w:p>
        </w:tc>
      </w:tr>
      <w:tr>
        <w:tc>
          <w:tcPr>
            <w:tcW w:type="dxa" w:w="4896"/>
          </w:tcPr>
          <w:p>
            <w:r>
              <w:t>Short Description</w:t>
            </w:r>
          </w:p>
        </w:tc>
        <w:tc>
          <w:tcPr>
            <w:tcW w:type="dxa" w:w="4896"/>
          </w:tcPr>
          <w:p>
            <w:r>
              <w:t>Unable to connect to Corporate VPN</w:t>
            </w:r>
          </w:p>
        </w:tc>
      </w:tr>
      <w:tr>
        <w:tc>
          <w:tcPr>
            <w:tcW w:type="dxa" w:w="4896"/>
          </w:tcPr>
          <w:p>
            <w:r>
              <w:t>Caller</w:t>
            </w:r>
          </w:p>
        </w:tc>
        <w:tc>
          <w:tcPr>
            <w:tcW w:type="dxa" w:w="4896"/>
          </w:tcPr>
          <w:p>
            <w:r>
              <w:t>Selected ServiceNow user</w:t>
            </w:r>
          </w:p>
        </w:tc>
      </w:tr>
      <w:tr>
        <w:tc>
          <w:tcPr>
            <w:tcW w:type="dxa" w:w="4896"/>
          </w:tcPr>
          <w:p>
            <w:r>
              <w:t>Description</w:t>
            </w:r>
          </w:p>
        </w:tc>
        <w:tc>
          <w:tcPr>
            <w:tcW w:type="dxa" w:w="4896"/>
          </w:tcPr>
          <w:p>
            <w:r>
              <w:t>User receiving VPN authentication failure error.</w:t>
            </w:r>
          </w:p>
        </w:tc>
      </w:tr>
      <w:tr>
        <w:tc>
          <w:tcPr>
            <w:tcW w:type="dxa" w:w="4896"/>
          </w:tcPr>
          <w:p>
            <w:r>
              <w:t>Category</w:t>
            </w:r>
          </w:p>
        </w:tc>
        <w:tc>
          <w:tcPr>
            <w:tcW w:type="dxa" w:w="4896"/>
          </w:tcPr>
          <w:p>
            <w:r>
              <w:t>Network</w:t>
            </w:r>
          </w:p>
        </w:tc>
      </w:tr>
      <w:tr>
        <w:tc>
          <w:tcPr>
            <w:tcW w:type="dxa" w:w="4896"/>
          </w:tcPr>
          <w:p>
            <w:r>
              <w:t>Subcategory</w:t>
            </w:r>
          </w:p>
        </w:tc>
        <w:tc>
          <w:tcPr>
            <w:tcW w:type="dxa" w:w="4896"/>
          </w:tcPr>
          <w:p>
            <w:r>
              <w:t>VPN</w:t>
            </w:r>
          </w:p>
        </w:tc>
      </w:tr>
      <w:tr>
        <w:tc>
          <w:tcPr>
            <w:tcW w:type="dxa" w:w="4896"/>
          </w:tcPr>
          <w:p>
            <w:r>
              <w:t>Impact</w:t>
            </w:r>
          </w:p>
        </w:tc>
        <w:tc>
          <w:tcPr>
            <w:tcW w:type="dxa" w:w="4896"/>
          </w:tcPr>
          <w:p>
            <w:r>
              <w:t>Based on business effect</w:t>
            </w:r>
          </w:p>
        </w:tc>
      </w:tr>
      <w:tr>
        <w:tc>
          <w:tcPr>
            <w:tcW w:type="dxa" w:w="4896"/>
          </w:tcPr>
          <w:p>
            <w:r>
              <w:t>Urgency</w:t>
            </w:r>
          </w:p>
        </w:tc>
        <w:tc>
          <w:tcPr>
            <w:tcW w:type="dxa" w:w="4896"/>
          </w:tcPr>
          <w:p>
            <w:r>
              <w:t>Based on required response</w:t>
            </w:r>
          </w:p>
        </w:tc>
      </w:tr>
      <w:tr>
        <w:tc>
          <w:tcPr>
            <w:tcW w:type="dxa" w:w="4896"/>
          </w:tcPr>
          <w:p>
            <w:r>
              <w:t>Assignment Group</w:t>
            </w:r>
          </w:p>
        </w:tc>
        <w:tc>
          <w:tcPr>
            <w:tcW w:type="dxa" w:w="4896"/>
          </w:tcPr>
          <w:p>
            <w:r>
              <w:t>Appropriate network/support group</w:t>
            </w:r>
          </w:p>
        </w:tc>
      </w:tr>
      <w:tr>
        <w:tc>
          <w:tcPr>
            <w:tcW w:type="dxa" w:w="4896"/>
          </w:tcPr>
          <w:p>
            <w:r>
              <w:t>State</w:t>
            </w:r>
          </w:p>
        </w:tc>
        <w:tc>
          <w:tcPr>
            <w:tcW w:type="dxa" w:w="4896"/>
          </w:tcPr>
          <w:p>
            <w:r>
              <w:t>New / In Progress / Resolved / Closed</w:t>
            </w:r>
          </w:p>
        </w:tc>
      </w:tr>
    </w:tbl>
    <w:p>
      <w:pPr>
        <w:pStyle w:val="Heading1"/>
      </w:pPr>
      <w:r>
        <w:t>2.5 Non-Functional Requirements</w:t>
      </w:r>
    </w:p>
    <w:p>
      <w:pPr>
        <w:pStyle w:val="ListBullet"/>
      </w:pPr>
      <w:r>
        <w:t>Security: access and modifications must follow ServiceNow roles and access controls.</w:t>
      </w:r>
    </w:p>
    <w:p>
      <w:pPr>
        <w:pStyle w:val="ListBullet"/>
      </w:pPr>
      <w:r>
        <w:t>Reliability: automation should execute consistently under defined conditions.</w:t>
      </w:r>
    </w:p>
    <w:p>
      <w:pPr>
        <w:pStyle w:val="ListBullet"/>
      </w:pPr>
      <w:r>
        <w:t>Performance: routine incident operations should be processed efficiently.</w:t>
      </w:r>
    </w:p>
    <w:p>
      <w:pPr>
        <w:pStyle w:val="ListBullet"/>
      </w:pPr>
      <w:r>
        <w:t>Maintainability: rules and flows should be documented and easy to update.</w:t>
      </w:r>
    </w:p>
    <w:p>
      <w:pPr>
        <w:pStyle w:val="ListBullet"/>
      </w:pPr>
      <w:r>
        <w:t>Auditability: incident updates and ownership changes should remain traceable.</w:t>
      </w:r>
    </w:p>
    <w:p>
      <w:pPr>
        <w:pStyle w:val="ListBullet"/>
      </w:pPr>
      <w:r>
        <w:t>Scalability: the design should support increasing incident volume.</w:t>
      </w:r>
    </w:p>
    <w:p>
      <w:pPr>
        <w:pStyle w:val="Heading1"/>
      </w:pPr>
      <w:r>
        <w:t>2.6 Stakeholder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Stakeholder</w:t>
            </w:r>
          </w:p>
        </w:tc>
        <w:tc>
          <w:tcPr>
            <w:tcW w:type="dxa" w:w="4896"/>
          </w:tcPr>
          <w:p>
            <w:r>
              <w:t>Key Requirement</w:t>
            </w:r>
          </w:p>
        </w:tc>
      </w:tr>
      <w:tr>
        <w:tc>
          <w:tcPr>
            <w:tcW w:type="dxa" w:w="4896"/>
          </w:tcPr>
          <w:p>
            <w:r>
              <w:t>End User</w:t>
            </w:r>
          </w:p>
        </w:tc>
        <w:tc>
          <w:tcPr>
            <w:tcW w:type="dxa" w:w="4896"/>
          </w:tcPr>
          <w:p>
            <w:r>
              <w:t>Simple incident reporting and clear status communication.</w:t>
            </w:r>
          </w:p>
        </w:tc>
      </w:tr>
      <w:tr>
        <w:tc>
          <w:tcPr>
            <w:tcW w:type="dxa" w:w="4896"/>
          </w:tcPr>
          <w:p>
            <w:r>
              <w:t>Service Desk</w:t>
            </w:r>
          </w:p>
        </w:tc>
        <w:tc>
          <w:tcPr>
            <w:tcW w:type="dxa" w:w="4896"/>
          </w:tcPr>
          <w:p>
            <w:r>
              <w:t>Fast assignment, complete incident context, and clear lifecycle states.</w:t>
            </w:r>
          </w:p>
        </w:tc>
      </w:tr>
      <w:tr>
        <w:tc>
          <w:tcPr>
            <w:tcW w:type="dxa" w:w="4896"/>
          </w:tcPr>
          <w:p>
            <w:r>
              <w:t>Support Engineer</w:t>
            </w:r>
          </w:p>
        </w:tc>
        <w:tc>
          <w:tcPr>
            <w:tcW w:type="dxa" w:w="4896"/>
          </w:tcPr>
          <w:p>
            <w:r>
              <w:t>Relevant incident information, work notes, knowledge support, and SLA visibility.</w:t>
            </w:r>
          </w:p>
        </w:tc>
      </w:tr>
      <w:tr>
        <w:tc>
          <w:tcPr>
            <w:tcW w:type="dxa" w:w="4896"/>
          </w:tcPr>
          <w:p>
            <w:r>
              <w:t>Incident Manager</w:t>
            </w:r>
          </w:p>
        </w:tc>
        <w:tc>
          <w:tcPr>
            <w:tcW w:type="dxa" w:w="4896"/>
          </w:tcPr>
          <w:p>
            <w:r>
              <w:t>Monitoring, escalation, SLA visibility, and reporting.</w:t>
            </w:r>
          </w:p>
        </w:tc>
      </w:tr>
      <w:tr>
        <w:tc>
          <w:tcPr>
            <w:tcW w:type="dxa" w:w="4896"/>
          </w:tcPr>
          <w:p>
            <w:r>
              <w:t>Administrator</w:t>
            </w:r>
          </w:p>
        </w:tc>
        <w:tc>
          <w:tcPr>
            <w:tcW w:type="dxa" w:w="4896"/>
          </w:tcPr>
          <w:p>
            <w:r>
              <w:t>Configurable and maintainable automation.</w:t>
            </w:r>
          </w:p>
        </w:tc>
      </w:tr>
    </w:tbl>
    <w:p>
      <w:pPr>
        <w:pStyle w:val="Heading1"/>
      </w:pPr>
      <w:r>
        <w:t>2.7 Acceptance Criteria</w:t>
      </w:r>
    </w:p>
    <w:p>
      <w:pPr>
        <w:pStyle w:val="ListNumber"/>
      </w:pPr>
      <w:r>
        <w:t>A valid incident can be created and receives a unique incident number.</w:t>
      </w:r>
    </w:p>
    <w:p>
      <w:pPr>
        <w:pStyle w:val="ListNumber"/>
      </w:pPr>
      <w:r>
        <w:t>Required incident information is captured correctly.</w:t>
      </w:r>
    </w:p>
    <w:p>
      <w:pPr>
        <w:pStyle w:val="ListNumber"/>
      </w:pPr>
      <w:r>
        <w:t>Configured categorization and assignment behavior works as intended.</w:t>
      </w:r>
    </w:p>
    <w:p>
      <w:pPr>
        <w:pStyle w:val="ListNumber"/>
      </w:pPr>
      <w:r>
        <w:t>Priority is consistent with the configured impact/urgency logic.</w:t>
      </w:r>
    </w:p>
    <w:p>
      <w:pPr>
        <w:pStyle w:val="ListNumber"/>
      </w:pPr>
      <w:r>
        <w:t>Applicable SLA information is visible in the incident's related records.</w:t>
      </w:r>
    </w:p>
    <w:p>
      <w:pPr>
        <w:pStyle w:val="ListNumber"/>
      </w:pPr>
      <w:r>
        <w:t>Related child incidents can be created and verified from the parent incident.</w:t>
      </w:r>
    </w:p>
    <w:p>
      <w:pPr>
        <w:pStyle w:val="ListNumber"/>
      </w:pPr>
      <w:r>
        <w:t>Resolution information is captured before resolution.</w:t>
      </w:r>
    </w:p>
    <w:p>
      <w:pPr>
        <w:pStyle w:val="ListNumber"/>
      </w:pPr>
      <w:r>
        <w:t>The incident can be closed only when configured closure conditions are satisfied.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