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PHASE 3 — PROJECT DESIGN</w:t>
      </w:r>
    </w:p>
    <w:p>
      <w:pPr>
        <w:jc w:val="center"/>
      </w:pPr>
      <w:r>
        <w:rPr>
          <w:b/>
          <w:sz w:val="30"/>
        </w:rPr>
        <w:t>Incident Lifecycle Automation in ServiceNow</w:t>
      </w:r>
    </w:p>
    <w:p>
      <w:pPr>
        <w:jc w:val="center"/>
      </w:pPr>
      <w:r>
        <w:rPr>
          <w:i/>
        </w:rPr>
        <w:t>Solution architecture, data, automation and lifecycle design</w:t>
      </w:r>
    </w:p>
    <w:p/>
    <w:p>
      <w:pPr>
        <w:pStyle w:val="Heading1"/>
      </w:pPr>
      <w:r>
        <w:t>3.1 Design Objective</w:t>
      </w:r>
    </w:p>
    <w:p>
      <w:r>
        <w:t>The Project Design Phase defines how the requirements will be implemented in ServiceNow. The design focuses on the Incident table, lifecycle states, assignment, priority, SLA monitoring, notifications, related records, workspace usage, and automation components.</w:t>
      </w:r>
    </w:p>
    <w:p>
      <w:pPr>
        <w:pStyle w:val="Heading1"/>
      </w:pPr>
      <w:r>
        <w:t>3.2 High-Level Architecture</w:t>
      </w:r>
    </w:p>
    <w:p>
      <w:r>
        <w:t>User / Service Desk → Incident Record → Categorization → Impact &amp; Urgency → Priority → Assignment Group / Agent → SLA Monitoring → Investigation → Resolution → Closure</w:t>
      </w:r>
    </w:p>
    <w:p>
      <w:pPr>
        <w:pStyle w:val="Heading1"/>
      </w:pPr>
      <w:r>
        <w:t>3.3 Core ServiceNow Components</w:t>
      </w:r>
    </w:p>
    <w:tbl>
      <w:tblPr>
        <w:tblStyle w:val="TableGrid"/>
        <w:tblW w:type="auto" w:w="0"/>
        <w:tblLook w:firstColumn="1" w:firstRow="1" w:lastColumn="0" w:lastRow="0" w:noHBand="0" w:noVBand="1" w:val="04A0"/>
      </w:tblPr>
      <w:tblGrid>
        <w:gridCol w:w="4896"/>
        <w:gridCol w:w="4896"/>
      </w:tblGrid>
      <w:tr>
        <w:tc>
          <w:tcPr>
            <w:tcW w:type="dxa" w:w="4896"/>
          </w:tcPr>
          <w:p>
            <w:r>
              <w:t>Component</w:t>
            </w:r>
          </w:p>
        </w:tc>
        <w:tc>
          <w:tcPr>
            <w:tcW w:type="dxa" w:w="4896"/>
          </w:tcPr>
          <w:p>
            <w:r>
              <w:t>Purpose</w:t>
            </w:r>
          </w:p>
        </w:tc>
      </w:tr>
      <w:tr>
        <w:tc>
          <w:tcPr>
            <w:tcW w:type="dxa" w:w="4896"/>
          </w:tcPr>
          <w:p>
            <w:r>
              <w:t>Incident Table</w:t>
            </w:r>
          </w:p>
        </w:tc>
        <w:tc>
          <w:tcPr>
            <w:tcW w:type="dxa" w:w="4896"/>
          </w:tcPr>
          <w:p>
            <w:r>
              <w:t>Central record for incident information and lifecycle state.</w:t>
            </w:r>
          </w:p>
        </w:tc>
      </w:tr>
      <w:tr>
        <w:tc>
          <w:tcPr>
            <w:tcW w:type="dxa" w:w="4896"/>
          </w:tcPr>
          <w:p>
            <w:r>
              <w:t>Assignment Groups</w:t>
            </w:r>
          </w:p>
        </w:tc>
        <w:tc>
          <w:tcPr>
            <w:tcW w:type="dxa" w:w="4896"/>
          </w:tcPr>
          <w:p>
            <w:r>
              <w:t>Represent teams responsible for incident work.</w:t>
            </w:r>
          </w:p>
        </w:tc>
      </w:tr>
      <w:tr>
        <w:tc>
          <w:tcPr>
            <w:tcW w:type="dxa" w:w="4896"/>
          </w:tcPr>
          <w:p>
            <w:r>
              <w:t>Assignment Rules / Automation</w:t>
            </w:r>
          </w:p>
        </w:tc>
        <w:tc>
          <w:tcPr>
            <w:tcW w:type="dxa" w:w="4896"/>
          </w:tcPr>
          <w:p>
            <w:r>
              <w:t>Support routing of incidents to appropriate groups.</w:t>
            </w:r>
          </w:p>
        </w:tc>
      </w:tr>
      <w:tr>
        <w:tc>
          <w:tcPr>
            <w:tcW w:type="dxa" w:w="4896"/>
          </w:tcPr>
          <w:p>
            <w:r>
              <w:t>Business Rules</w:t>
            </w:r>
          </w:p>
        </w:tc>
        <w:tc>
          <w:tcPr>
            <w:tcW w:type="dxa" w:w="4896"/>
          </w:tcPr>
          <w:p>
            <w:r>
              <w:t>Provide server-side logic when configured conditions occur.</w:t>
            </w:r>
          </w:p>
        </w:tc>
      </w:tr>
      <w:tr>
        <w:tc>
          <w:tcPr>
            <w:tcW w:type="dxa" w:w="4896"/>
          </w:tcPr>
          <w:p>
            <w:r>
              <w:t>Client Scripts</w:t>
            </w:r>
          </w:p>
        </w:tc>
        <w:tc>
          <w:tcPr>
            <w:tcW w:type="dxa" w:w="4896"/>
          </w:tcPr>
          <w:p>
            <w:r>
              <w:t>Control client-side form behavior where required.</w:t>
            </w:r>
          </w:p>
        </w:tc>
      </w:tr>
      <w:tr>
        <w:tc>
          <w:tcPr>
            <w:tcW w:type="dxa" w:w="4896"/>
          </w:tcPr>
          <w:p>
            <w:r>
              <w:t>UI Policies</w:t>
            </w:r>
          </w:p>
        </w:tc>
        <w:tc>
          <w:tcPr>
            <w:tcW w:type="dxa" w:w="4896"/>
          </w:tcPr>
          <w:p>
            <w:r>
              <w:t>Control field visibility, mandatory status, or read-only behavior.</w:t>
            </w:r>
          </w:p>
        </w:tc>
      </w:tr>
      <w:tr>
        <w:tc>
          <w:tcPr>
            <w:tcW w:type="dxa" w:w="4896"/>
          </w:tcPr>
          <w:p>
            <w:r>
              <w:t>Data Policies</w:t>
            </w:r>
          </w:p>
        </w:tc>
        <w:tc>
          <w:tcPr>
            <w:tcW w:type="dxa" w:w="4896"/>
          </w:tcPr>
          <w:p>
            <w:r>
              <w:t>Enforce data requirements at the platform level.</w:t>
            </w:r>
          </w:p>
        </w:tc>
      </w:tr>
      <w:tr>
        <w:tc>
          <w:tcPr>
            <w:tcW w:type="dxa" w:w="4896"/>
          </w:tcPr>
          <w:p>
            <w:r>
              <w:t>Flow Designer</w:t>
            </w:r>
          </w:p>
        </w:tc>
        <w:tc>
          <w:tcPr>
            <w:tcW w:type="dxa" w:w="4896"/>
          </w:tcPr>
          <w:p>
            <w:r>
              <w:t>Create visual automation for supported incident processes.</w:t>
            </w:r>
          </w:p>
        </w:tc>
      </w:tr>
      <w:tr>
        <w:tc>
          <w:tcPr>
            <w:tcW w:type="dxa" w:w="4896"/>
          </w:tcPr>
          <w:p>
            <w:r>
              <w:t>Notifications</w:t>
            </w:r>
          </w:p>
        </w:tc>
        <w:tc>
          <w:tcPr>
            <w:tcW w:type="dxa" w:w="4896"/>
          </w:tcPr>
          <w:p>
            <w:r>
              <w:t>Communicate important incident events.</w:t>
            </w:r>
          </w:p>
        </w:tc>
      </w:tr>
      <w:tr>
        <w:tc>
          <w:tcPr>
            <w:tcW w:type="dxa" w:w="4896"/>
          </w:tcPr>
          <w:p>
            <w:r>
              <w:t>SLAs</w:t>
            </w:r>
          </w:p>
        </w:tc>
        <w:tc>
          <w:tcPr>
            <w:tcW w:type="dxa" w:w="4896"/>
          </w:tcPr>
          <w:p>
            <w:r>
              <w:t>Measure incident response/resolution performance against targets.</w:t>
            </w:r>
          </w:p>
        </w:tc>
      </w:tr>
      <w:tr>
        <w:tc>
          <w:tcPr>
            <w:tcW w:type="dxa" w:w="4896"/>
          </w:tcPr>
          <w:p>
            <w:r>
              <w:t>Service Operations Workspace</w:t>
            </w:r>
          </w:p>
        </w:tc>
        <w:tc>
          <w:tcPr>
            <w:tcW w:type="dxa" w:w="4896"/>
          </w:tcPr>
          <w:p>
            <w:r>
              <w:t>Provides an agent-focused interface for incident work.</w:t>
            </w:r>
          </w:p>
        </w:tc>
      </w:tr>
      <w:tr>
        <w:tc>
          <w:tcPr>
            <w:tcW w:type="dxa" w:w="4896"/>
          </w:tcPr>
          <w:p>
            <w:r>
              <w:t>Related Records</w:t>
            </w:r>
          </w:p>
        </w:tc>
        <w:tc>
          <w:tcPr>
            <w:tcW w:type="dxa" w:w="4896"/>
          </w:tcPr>
          <w:p>
            <w:r>
              <w:t>Provides access to connected records such as Child Incidents and Task SLAs.</w:t>
            </w:r>
          </w:p>
        </w:tc>
      </w:tr>
    </w:tbl>
    <w:p>
      <w:pPr>
        <w:pStyle w:val="Heading1"/>
      </w:pPr>
      <w:r>
        <w:t>3.4 Incident Data Design</w:t>
      </w:r>
    </w:p>
    <w:tbl>
      <w:tblPr>
        <w:tblStyle w:val="TableGrid"/>
        <w:tblW w:type="auto" w:w="0"/>
        <w:tblLook w:firstColumn="1" w:firstRow="1" w:lastColumn="0" w:lastRow="0" w:noHBand="0" w:noVBand="1" w:val="04A0"/>
      </w:tblPr>
      <w:tblGrid>
        <w:gridCol w:w="4896"/>
        <w:gridCol w:w="4896"/>
      </w:tblGrid>
      <w:tr>
        <w:tc>
          <w:tcPr>
            <w:tcW w:type="dxa" w:w="4896"/>
          </w:tcPr>
          <w:p>
            <w:r>
              <w:t>Field Group</w:t>
            </w:r>
          </w:p>
        </w:tc>
        <w:tc>
          <w:tcPr>
            <w:tcW w:type="dxa" w:w="4896"/>
          </w:tcPr>
          <w:p>
            <w:r>
              <w:t>Fields / Examples</w:t>
            </w:r>
          </w:p>
        </w:tc>
      </w:tr>
      <w:tr>
        <w:tc>
          <w:tcPr>
            <w:tcW w:type="dxa" w:w="4896"/>
          </w:tcPr>
          <w:p>
            <w:r>
              <w:t>Identification</w:t>
            </w:r>
          </w:p>
        </w:tc>
        <w:tc>
          <w:tcPr>
            <w:tcW w:type="dxa" w:w="4896"/>
          </w:tcPr>
          <w:p>
            <w:r>
              <w:t>Number, Caller</w:t>
            </w:r>
          </w:p>
        </w:tc>
      </w:tr>
      <w:tr>
        <w:tc>
          <w:tcPr>
            <w:tcW w:type="dxa" w:w="4896"/>
          </w:tcPr>
          <w:p>
            <w:r>
              <w:t>Problem Details</w:t>
            </w:r>
          </w:p>
        </w:tc>
        <w:tc>
          <w:tcPr>
            <w:tcW w:type="dxa" w:w="4896"/>
          </w:tcPr>
          <w:p>
            <w:r>
              <w:t>Short Description, Description</w:t>
            </w:r>
          </w:p>
        </w:tc>
      </w:tr>
      <w:tr>
        <w:tc>
          <w:tcPr>
            <w:tcW w:type="dxa" w:w="4896"/>
          </w:tcPr>
          <w:p>
            <w:r>
              <w:t>Classification</w:t>
            </w:r>
          </w:p>
        </w:tc>
        <w:tc>
          <w:tcPr>
            <w:tcW w:type="dxa" w:w="4896"/>
          </w:tcPr>
          <w:p>
            <w:r>
              <w:t>Category, Subcategory</w:t>
            </w:r>
          </w:p>
        </w:tc>
      </w:tr>
      <w:tr>
        <w:tc>
          <w:tcPr>
            <w:tcW w:type="dxa" w:w="4896"/>
          </w:tcPr>
          <w:p>
            <w:r>
              <w:t>Assessment</w:t>
            </w:r>
          </w:p>
        </w:tc>
        <w:tc>
          <w:tcPr>
            <w:tcW w:type="dxa" w:w="4896"/>
          </w:tcPr>
          <w:p>
            <w:r>
              <w:t>Impact, Urgency, Priority</w:t>
            </w:r>
          </w:p>
        </w:tc>
      </w:tr>
      <w:tr>
        <w:tc>
          <w:tcPr>
            <w:tcW w:type="dxa" w:w="4896"/>
          </w:tcPr>
          <w:p>
            <w:r>
              <w:t>Ownership</w:t>
            </w:r>
          </w:p>
        </w:tc>
        <w:tc>
          <w:tcPr>
            <w:tcW w:type="dxa" w:w="4896"/>
          </w:tcPr>
          <w:p>
            <w:r>
              <w:t>Assignment Group, Assigned To</w:t>
            </w:r>
          </w:p>
        </w:tc>
      </w:tr>
      <w:tr>
        <w:tc>
          <w:tcPr>
            <w:tcW w:type="dxa" w:w="4896"/>
          </w:tcPr>
          <w:p>
            <w:r>
              <w:t>Lifecycle</w:t>
            </w:r>
          </w:p>
        </w:tc>
        <w:tc>
          <w:tcPr>
            <w:tcW w:type="dxa" w:w="4896"/>
          </w:tcPr>
          <w:p>
            <w:r>
              <w:t>State</w:t>
            </w:r>
          </w:p>
        </w:tc>
      </w:tr>
      <w:tr>
        <w:tc>
          <w:tcPr>
            <w:tcW w:type="dxa" w:w="4896"/>
          </w:tcPr>
          <w:p>
            <w:r>
              <w:t>Communication</w:t>
            </w:r>
          </w:p>
        </w:tc>
        <w:tc>
          <w:tcPr>
            <w:tcW w:type="dxa" w:w="4896"/>
          </w:tcPr>
          <w:p>
            <w:r>
              <w:t>Additional Comments, Work Notes</w:t>
            </w:r>
          </w:p>
        </w:tc>
      </w:tr>
      <w:tr>
        <w:tc>
          <w:tcPr>
            <w:tcW w:type="dxa" w:w="4896"/>
          </w:tcPr>
          <w:p>
            <w:r>
              <w:t>Resolution</w:t>
            </w:r>
          </w:p>
        </w:tc>
        <w:tc>
          <w:tcPr>
            <w:tcW w:type="dxa" w:w="4896"/>
          </w:tcPr>
          <w:p>
            <w:r>
              <w:t>Resolution Code, Resolution Notes, Resolved By, Resolved Date</w:t>
            </w:r>
          </w:p>
        </w:tc>
      </w:tr>
    </w:tbl>
    <w:p>
      <w:pPr>
        <w:pStyle w:val="Heading1"/>
      </w:pPr>
      <w:r>
        <w:t>3.5 Lifecycle Design</w:t>
      </w:r>
    </w:p>
    <w:tbl>
      <w:tblPr>
        <w:tblStyle w:val="TableGrid"/>
        <w:tblW w:type="auto" w:w="0"/>
        <w:tblLook w:firstColumn="1" w:firstRow="1" w:lastColumn="0" w:lastRow="0" w:noHBand="0" w:noVBand="1" w:val="04A0"/>
      </w:tblPr>
      <w:tblGrid>
        <w:gridCol w:w="4896"/>
        <w:gridCol w:w="4896"/>
      </w:tblGrid>
      <w:tr>
        <w:tc>
          <w:tcPr>
            <w:tcW w:type="dxa" w:w="4896"/>
          </w:tcPr>
          <w:p>
            <w:r>
              <w:t>State</w:t>
            </w:r>
          </w:p>
        </w:tc>
        <w:tc>
          <w:tcPr>
            <w:tcW w:type="dxa" w:w="4896"/>
          </w:tcPr>
          <w:p>
            <w:r>
              <w:t>Purpose</w:t>
            </w:r>
          </w:p>
        </w:tc>
      </w:tr>
      <w:tr>
        <w:tc>
          <w:tcPr>
            <w:tcW w:type="dxa" w:w="4896"/>
          </w:tcPr>
          <w:p>
            <w:r>
              <w:t>New</w:t>
            </w:r>
          </w:p>
        </w:tc>
        <w:tc>
          <w:tcPr>
            <w:tcW w:type="dxa" w:w="4896"/>
          </w:tcPr>
          <w:p>
            <w:r>
              <w:t>Incident has been created and requires processing.</w:t>
            </w:r>
          </w:p>
        </w:tc>
      </w:tr>
      <w:tr>
        <w:tc>
          <w:tcPr>
            <w:tcW w:type="dxa" w:w="4896"/>
          </w:tcPr>
          <w:p>
            <w:r>
              <w:t>In Progress</w:t>
            </w:r>
          </w:p>
        </w:tc>
        <w:tc>
          <w:tcPr>
            <w:tcW w:type="dxa" w:w="4896"/>
          </w:tcPr>
          <w:p>
            <w:r>
              <w:t>An agent/support team is actively investigating or working.</w:t>
            </w:r>
          </w:p>
        </w:tc>
      </w:tr>
      <w:tr>
        <w:tc>
          <w:tcPr>
            <w:tcW w:type="dxa" w:w="4896"/>
          </w:tcPr>
          <w:p>
            <w:r>
              <w:t>On Hold</w:t>
            </w:r>
          </w:p>
        </w:tc>
        <w:tc>
          <w:tcPr>
            <w:tcW w:type="dxa" w:w="4896"/>
          </w:tcPr>
          <w:p>
            <w:r>
              <w:t>Work is temporarily paused because of a dependency or missing information.</w:t>
            </w:r>
          </w:p>
        </w:tc>
      </w:tr>
      <w:tr>
        <w:tc>
          <w:tcPr>
            <w:tcW w:type="dxa" w:w="4896"/>
          </w:tcPr>
          <w:p>
            <w:r>
              <w:t>Resolved</w:t>
            </w:r>
          </w:p>
        </w:tc>
        <w:tc>
          <w:tcPr>
            <w:tcW w:type="dxa" w:w="4896"/>
          </w:tcPr>
          <w:p>
            <w:r>
              <w:t>The issue has been fixed and resolution details have been recorded.</w:t>
            </w:r>
          </w:p>
        </w:tc>
      </w:tr>
      <w:tr>
        <w:tc>
          <w:tcPr>
            <w:tcW w:type="dxa" w:w="4896"/>
          </w:tcPr>
          <w:p>
            <w:r>
              <w:t>Closed</w:t>
            </w:r>
          </w:p>
        </w:tc>
        <w:tc>
          <w:tcPr>
            <w:tcW w:type="dxa" w:w="4896"/>
          </w:tcPr>
          <w:p>
            <w:r>
              <w:t>The incident has completed the configured closure process.</w:t>
            </w:r>
          </w:p>
        </w:tc>
      </w:tr>
    </w:tbl>
    <w:p>
      <w:pPr>
        <w:pStyle w:val="Heading1"/>
      </w:pPr>
      <w:r>
        <w:t>3.6 Assignment Design</w:t>
      </w:r>
    </w:p>
    <w:p>
      <w:r>
        <w:t>Assignment logic should use defined business conditions. For example, a Network/VPN incident can be routed to the appropriate network support group. The final mapping should match the assignment groups configured in the ServiceNow instance.</w:t>
      </w:r>
    </w:p>
    <w:p>
      <w:pPr>
        <w:pStyle w:val="Heading1"/>
      </w:pPr>
      <w:r>
        <w:t>3.7 Priority Design</w:t>
      </w:r>
    </w:p>
    <w:p>
      <w:r>
        <w:t>Priority is designed around the relationship between impact and urgency. High-impact and high-urgency incidents should receive the highest appropriate priority according to the configured ServiceNow priority matrix.</w:t>
      </w:r>
    </w:p>
    <w:p>
      <w:pPr>
        <w:pStyle w:val="Heading1"/>
      </w:pPr>
      <w:r>
        <w:t>3.8 SLA Design</w:t>
      </w:r>
    </w:p>
    <w:p>
      <w:r>
        <w:t>SLA definitions should specify start, pause where applicable, and stop conditions, together with an appropriate schedule and target duration. The project should use the actual organizational SLA policy if available rather than treating example durations as mandatory.</w:t>
      </w:r>
    </w:p>
    <w:p>
      <w:pPr>
        <w:pStyle w:val="Heading1"/>
      </w:pPr>
      <w:r>
        <w:t>3.9 Notification Design</w:t>
      </w:r>
    </w:p>
    <w:p>
      <w:pPr>
        <w:pStyle w:val="ListBullet"/>
      </w:pPr>
      <w:r>
        <w:t>Incident creation or assignment notification.</w:t>
      </w:r>
    </w:p>
    <w:p>
      <w:pPr>
        <w:pStyle w:val="ListBullet"/>
      </w:pPr>
      <w:r>
        <w:t>Important incident update notification.</w:t>
      </w:r>
    </w:p>
    <w:p>
      <w:pPr>
        <w:pStyle w:val="ListBullet"/>
      </w:pPr>
      <w:r>
        <w:t>Resolution notification where required.</w:t>
      </w:r>
    </w:p>
    <w:p>
      <w:pPr>
        <w:pStyle w:val="ListBullet"/>
      </w:pPr>
      <w:r>
        <w:t>SLA warning/escalation notification where configured.</w:t>
      </w:r>
    </w:p>
    <w:p>
      <w:pPr>
        <w:pStyle w:val="ListBullet"/>
      </w:pPr>
      <w:r>
        <w:t>Closure communication where required.</w:t>
      </w:r>
    </w:p>
    <w:p>
      <w:pPr>
        <w:pStyle w:val="Heading1"/>
      </w:pPr>
      <w:r>
        <w:t>3.10 Child Incident Design</w:t>
      </w:r>
    </w:p>
    <w:p>
      <w:r>
        <w:t>A parent incident can be associated with child incidents when multiple user-specific incidents relate to a broader issue. This supports traceability and helps agents review related work from the parent incident's Related Records section.</w:t>
      </w:r>
    </w:p>
    <w:p>
      <w:pPr>
        <w:pStyle w:val="Heading1"/>
      </w:pPr>
      <w:r>
        <w:t>3.11 Workspace Design</w:t>
      </w:r>
    </w:p>
    <w:p>
      <w:r>
        <w:t>Service Operations Workspace provides an agent-oriented view in which an agent can open incidents, review descriptions and knowledge information, take ownership where appropriate, and inspect related records such as Task SLAs and child incidents.</w:t>
      </w:r>
    </w:p>
    <w:p>
      <w:pPr>
        <w:pStyle w:val="Heading1"/>
      </w:pPr>
      <w:r>
        <w:t>3.12 Design Principles</w:t>
      </w:r>
    </w:p>
    <w:p>
      <w:pPr>
        <w:pStyle w:val="ListBullet"/>
      </w:pPr>
      <w:r>
        <w:t>Use configuration before custom scripting when configuration satisfies the requirement.</w:t>
      </w:r>
    </w:p>
    <w:p>
      <w:pPr>
        <w:pStyle w:val="ListBullet"/>
      </w:pPr>
      <w:r>
        <w:t>Keep automation conditions explicit and testable.</w:t>
      </w:r>
    </w:p>
    <w:p>
      <w:pPr>
        <w:pStyle w:val="ListBullet"/>
      </w:pPr>
      <w:r>
        <w:t>Avoid conflicting rules that update the same fields unexpectedly.</w:t>
      </w:r>
    </w:p>
    <w:p>
      <w:pPr>
        <w:pStyle w:val="ListBullet"/>
      </w:pPr>
      <w:r>
        <w:t>Keep lifecycle transitions controlled and auditable.</w:t>
      </w:r>
    </w:p>
    <w:p>
      <w:pPr>
        <w:pStyle w:val="ListBullet"/>
      </w:pPr>
      <w:r>
        <w:t>Design for maintainability and future enhancement.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