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ServiceNow Incident Automation Documentation</w:t>
      </w:r>
    </w:p>
    <w:p>
      <w:pPr>
        <w:jc w:val="center"/>
      </w:pPr>
      <w:r>
        <w:rPr>
          <w:b/>
          <w:sz w:val="26"/>
        </w:rPr>
        <w:t>Business Rules / Flow Designer</w:t>
      </w:r>
    </w:p>
    <w:p/>
    <w:p>
      <w:r>
        <w:rPr>
          <w:b/>
          <w:sz w:val="30"/>
        </w:rPr>
        <w:t>8.5 Business Rules / Flow Designer</w:t>
      </w:r>
    </w:p>
    <w:p>
      <w:r>
        <w:t>Automation can be implemented using Business Rules or Flow Designer. The following screenshots document the incident workflow and the related ServiceNow records used in the process.</w:t>
      </w:r>
    </w:p>
    <w:p>
      <w:r>
        <w:rPr>
          <w:b/>
          <w:sz w:val="24"/>
        </w:rPr>
        <w:t>Example Flow</w:t>
      </w:r>
    </w:p>
    <w:p>
      <w:pPr>
        <w:jc w:val="center"/>
      </w:pPr>
      <w:r>
        <w:rPr>
          <w:sz w:val="22"/>
        </w:rPr>
        <w:t>Incident Created</w:t>
      </w:r>
    </w:p>
    <w:p>
      <w:pPr>
        <w:jc w:val="center"/>
      </w:pPr>
      <w:r>
        <w:rPr>
          <w:b/>
          <w:sz w:val="26"/>
        </w:rPr>
        <w:t>↓</w:t>
      </w:r>
    </w:p>
    <w:p>
      <w:pPr>
        <w:jc w:val="center"/>
      </w:pPr>
      <w:r>
        <w:rPr>
          <w:sz w:val="22"/>
        </w:rPr>
        <w:t>Check Category</w:t>
      </w:r>
    </w:p>
    <w:p>
      <w:pPr>
        <w:jc w:val="center"/>
      </w:pPr>
      <w:r>
        <w:rPr>
          <w:b/>
          <w:sz w:val="26"/>
        </w:rPr>
        <w:t>↓</w:t>
      </w:r>
    </w:p>
    <w:p>
      <w:pPr>
        <w:jc w:val="center"/>
      </w:pPr>
      <w:r>
        <w:rPr>
          <w:sz w:val="22"/>
        </w:rPr>
        <w:t>Determine Assignment Group</w:t>
      </w:r>
    </w:p>
    <w:p>
      <w:pPr>
        <w:jc w:val="center"/>
      </w:pPr>
      <w:r>
        <w:rPr>
          <w:b/>
          <w:sz w:val="26"/>
        </w:rPr>
        <w:t>↓</w:t>
      </w:r>
    </w:p>
    <w:p>
      <w:pPr>
        <w:jc w:val="center"/>
      </w:pPr>
      <w:r>
        <w:rPr>
          <w:sz w:val="22"/>
        </w:rPr>
        <w:t>Determine Priority</w:t>
      </w:r>
    </w:p>
    <w:p>
      <w:pPr>
        <w:jc w:val="center"/>
      </w:pPr>
      <w:r>
        <w:rPr>
          <w:b/>
          <w:sz w:val="26"/>
        </w:rPr>
        <w:t>↓</w:t>
      </w:r>
    </w:p>
    <w:p>
      <w:pPr>
        <w:jc w:val="center"/>
      </w:pPr>
      <w:r>
        <w:rPr>
          <w:sz w:val="22"/>
        </w:rPr>
        <w:t>Attach SLA</w:t>
      </w:r>
    </w:p>
    <w:p>
      <w:pPr>
        <w:jc w:val="center"/>
      </w:pPr>
      <w:r>
        <w:rPr>
          <w:b/>
          <w:sz w:val="26"/>
        </w:rPr>
        <w:t>↓</w:t>
      </w:r>
    </w:p>
    <w:p>
      <w:pPr>
        <w:jc w:val="center"/>
      </w:pPr>
      <w:r>
        <w:rPr>
          <w:sz w:val="22"/>
        </w:rPr>
        <w:t>Notify Support Group</w:t>
      </w:r>
    </w:p>
    <w:p>
      <w:pPr>
        <w:jc w:val="center"/>
      </w:pPr>
      <w:r>
        <w:rPr>
          <w:b/>
          <w:sz w:val="26"/>
        </w:rPr>
        <w:t>↓</w:t>
      </w:r>
    </w:p>
    <w:p>
      <w:pPr>
        <w:jc w:val="center"/>
      </w:pPr>
      <w:r>
        <w:rPr>
          <w:sz w:val="22"/>
        </w:rPr>
        <w:t>Monitor Incident</w:t>
      </w:r>
    </w:p>
    <w:p>
      <w:pPr>
        <w:jc w:val="center"/>
      </w:pPr>
      <w:r>
        <w:rPr>
          <w:b/>
          <w:sz w:val="26"/>
        </w:rPr>
        <w:t>↓</w:t>
      </w:r>
    </w:p>
    <w:p>
      <w:pPr>
        <w:jc w:val="center"/>
      </w:pPr>
      <w:r>
        <w:rPr>
          <w:sz w:val="22"/>
        </w:rPr>
        <w:t>SLA Warning</w:t>
      </w:r>
    </w:p>
    <w:p>
      <w:pPr>
        <w:jc w:val="center"/>
      </w:pPr>
      <w:r>
        <w:rPr>
          <w:b/>
          <w:sz w:val="26"/>
        </w:rPr>
        <w:t>↓</w:t>
      </w:r>
    </w:p>
    <w:p>
      <w:pPr>
        <w:jc w:val="center"/>
      </w:pPr>
      <w:r>
        <w:rPr>
          <w:sz w:val="22"/>
        </w:rPr>
        <w:t>Escalation if Required</w:t>
      </w:r>
    </w:p>
    <w:p/>
    <w:p>
      <w:r>
        <w:rPr>
          <w:i/>
        </w:rPr>
        <w:t>Note: The exact SLA targets can be modified according to the organization's SLA policy.</w:t>
      </w:r>
    </w:p>
    <w:p>
      <w:r>
        <w:rPr>
          <w:b/>
          <w:sz w:val="26"/>
        </w:rPr>
        <w:t>8.5.1 Screenshots / Evidence</w:t>
      </w:r>
    </w:p>
    <w:p>
      <w:pPr>
        <w:jc w:val="center"/>
      </w:pPr>
      <w:r>
        <w:rPr>
          <w:b/>
          <w:sz w:val="21"/>
        </w:rPr>
        <w:t>Existing document section – Business Rules / Flow Designer</w:t>
      </w:r>
    </w:p>
    <w:p>
      <w:pPr>
        <w:jc w:val="center"/>
      </w:pPr>
      <w:r>
        <w:drawing>
          <wp:inline xmlns:a="http://schemas.openxmlformats.org/drawingml/2006/main" xmlns:pic="http://schemas.openxmlformats.org/drawingml/2006/picture">
            <wp:extent cx="6217920" cy="4658241"/>
            <wp:docPr id="1" name="Picture 1"/>
            <wp:cNvGraphicFramePr>
              <a:graphicFrameLocks noChangeAspect="1"/>
            </wp:cNvGraphicFramePr>
            <a:graphic>
              <a:graphicData uri="http://schemas.openxmlformats.org/drawingml/2006/picture">
                <pic:pic>
                  <pic:nvPicPr>
                    <pic:cNvPr id="0" name="ba4eb453-2eb3-42e2-95b4-2ad9bc5e74cb.png"/>
                    <pic:cNvPicPr/>
                  </pic:nvPicPr>
                  <pic:blipFill>
                    <a:blip r:embed="rId9"/>
                    <a:stretch>
                      <a:fillRect/>
                    </a:stretch>
                  </pic:blipFill>
                  <pic:spPr>
                    <a:xfrm>
                      <a:off x="0" y="0"/>
                      <a:ext cx="6217920" cy="4658241"/>
                    </a:xfrm>
                    <a:prstGeom prst="rect"/>
                  </pic:spPr>
                </pic:pic>
              </a:graphicData>
            </a:graphic>
          </wp:inline>
        </w:drawing>
      </w:r>
    </w:p>
    <w:p>
      <w:pPr>
        <w:jc w:val="center"/>
      </w:pPr>
      <w:r>
        <w:rPr>
          <w:i/>
          <w:sz w:val="18"/>
        </w:rPr>
        <w:t>Figure 1. Existing documentation section for Business Rules / Flow Designer.</w:t>
      </w:r>
    </w:p>
    <w:p>
      <w:pPr>
        <w:jc w:val="center"/>
      </w:pPr>
      <w:r>
        <w:rPr>
          <w:b/>
          <w:sz w:val="21"/>
        </w:rPr>
        <w:t>Incident record – Overview and activity</w:t>
      </w:r>
    </w:p>
    <w:p>
      <w:pPr>
        <w:jc w:val="center"/>
      </w:pPr>
      <w:r>
        <w:drawing>
          <wp:inline xmlns:a="http://schemas.openxmlformats.org/drawingml/2006/main" xmlns:pic="http://schemas.openxmlformats.org/drawingml/2006/picture">
            <wp:extent cx="6217920" cy="3496566"/>
            <wp:docPr id="2" name="Picture 2"/>
            <wp:cNvGraphicFramePr>
              <a:graphicFrameLocks noChangeAspect="1"/>
            </wp:cNvGraphicFramePr>
            <a:graphic>
              <a:graphicData uri="http://schemas.openxmlformats.org/drawingml/2006/picture">
                <pic:pic>
                  <pic:nvPicPr>
                    <pic:cNvPr id="0" name="Screenshot 2026-09-04 232844.png"/>
                    <pic:cNvPicPr/>
                  </pic:nvPicPr>
                  <pic:blipFill>
                    <a:blip r:embed="rId10"/>
                    <a:stretch>
                      <a:fillRect/>
                    </a:stretch>
                  </pic:blipFill>
                  <pic:spPr>
                    <a:xfrm>
                      <a:off x="0" y="0"/>
                      <a:ext cx="6217920" cy="3496566"/>
                    </a:xfrm>
                    <a:prstGeom prst="rect"/>
                  </pic:spPr>
                </pic:pic>
              </a:graphicData>
            </a:graphic>
          </wp:inline>
        </w:drawing>
      </w:r>
    </w:p>
    <w:p>
      <w:pPr>
        <w:jc w:val="center"/>
      </w:pPr>
      <w:r>
        <w:rPr>
          <w:i/>
          <w:sz w:val="18"/>
        </w:rPr>
        <w:t>Figure 2. ServiceNow incident record showing the Overview, activity, and SLA information.</w:t>
      </w:r>
    </w:p>
    <w:p>
      <w:pPr>
        <w:jc w:val="center"/>
      </w:pPr>
      <w:r>
        <w:rPr>
          <w:b/>
          <w:sz w:val="21"/>
        </w:rPr>
        <w:t>Incident record – Related Records / Attached Knowledge</w:t>
      </w:r>
    </w:p>
    <w:p>
      <w:pPr>
        <w:jc w:val="center"/>
      </w:pPr>
      <w:r>
        <w:drawing>
          <wp:inline xmlns:a="http://schemas.openxmlformats.org/drawingml/2006/main" xmlns:pic="http://schemas.openxmlformats.org/drawingml/2006/picture">
            <wp:extent cx="6217920" cy="3496566"/>
            <wp:docPr id="3" name="Picture 3"/>
            <wp:cNvGraphicFramePr>
              <a:graphicFrameLocks noChangeAspect="1"/>
            </wp:cNvGraphicFramePr>
            <a:graphic>
              <a:graphicData uri="http://schemas.openxmlformats.org/drawingml/2006/picture">
                <pic:pic>
                  <pic:nvPicPr>
                    <pic:cNvPr id="0" name="Screenshot 2026-09-04 231940.png"/>
                    <pic:cNvPicPr/>
                  </pic:nvPicPr>
                  <pic:blipFill>
                    <a:blip r:embed="rId11"/>
                    <a:stretch>
                      <a:fillRect/>
                    </a:stretch>
                  </pic:blipFill>
                  <pic:spPr>
                    <a:xfrm>
                      <a:off x="0" y="0"/>
                      <a:ext cx="6217920" cy="3496566"/>
                    </a:xfrm>
                    <a:prstGeom prst="rect"/>
                  </pic:spPr>
                </pic:pic>
              </a:graphicData>
            </a:graphic>
          </wp:inline>
        </w:drawing>
      </w:r>
    </w:p>
    <w:p>
      <w:pPr>
        <w:jc w:val="center"/>
      </w:pPr>
      <w:r>
        <w:rPr>
          <w:i/>
          <w:sz w:val="18"/>
        </w:rPr>
        <w:t>Figure 3. ServiceNow incident record showing Related Records and attached knowledge.</w:t>
      </w:r>
    </w:p>
    <w:p>
      <w:pPr>
        <w:jc w:val="center"/>
      </w:pPr>
      <w:r>
        <w:rPr>
          <w:b/>
          <w:sz w:val="21"/>
        </w:rPr>
        <w:t>Incident record – Child Incidents</w:t>
      </w:r>
    </w:p>
    <w:p>
      <w:pPr>
        <w:jc w:val="center"/>
      </w:pPr>
      <w:r>
        <w:drawing>
          <wp:inline xmlns:a="http://schemas.openxmlformats.org/drawingml/2006/main" xmlns:pic="http://schemas.openxmlformats.org/drawingml/2006/picture">
            <wp:extent cx="6217920" cy="3496566"/>
            <wp:docPr id="4" name="Picture 4"/>
            <wp:cNvGraphicFramePr>
              <a:graphicFrameLocks noChangeAspect="1"/>
            </wp:cNvGraphicFramePr>
            <a:graphic>
              <a:graphicData uri="http://schemas.openxmlformats.org/drawingml/2006/picture">
                <pic:pic>
                  <pic:nvPicPr>
                    <pic:cNvPr id="0" name="Screenshot 2026-09-04 231117.png"/>
                    <pic:cNvPicPr/>
                  </pic:nvPicPr>
                  <pic:blipFill>
                    <a:blip r:embed="rId12"/>
                    <a:stretch>
                      <a:fillRect/>
                    </a:stretch>
                  </pic:blipFill>
                  <pic:spPr>
                    <a:xfrm>
                      <a:off x="0" y="0"/>
                      <a:ext cx="6217920" cy="3496566"/>
                    </a:xfrm>
                    <a:prstGeom prst="rect"/>
                  </pic:spPr>
                </pic:pic>
              </a:graphicData>
            </a:graphic>
          </wp:inline>
        </w:drawing>
      </w:r>
    </w:p>
    <w:p>
      <w:pPr>
        <w:jc w:val="center"/>
      </w:pPr>
      <w:r>
        <w:rPr>
          <w:i/>
          <w:sz w:val="18"/>
        </w:rPr>
        <w:t>Figure 4. Child Incidents related to the parent incident.</w:t>
      </w:r>
    </w:p>
    <w:p>
      <w:pPr>
        <w:jc w:val="center"/>
      </w:pPr>
      <w:r>
        <w:rPr>
          <w:b/>
          <w:sz w:val="21"/>
        </w:rPr>
        <w:t>Incident record – Child Incident details</w:t>
      </w:r>
    </w:p>
    <w:p>
      <w:pPr>
        <w:jc w:val="center"/>
      </w:pPr>
      <w:r>
        <w:drawing>
          <wp:inline xmlns:a="http://schemas.openxmlformats.org/drawingml/2006/main" xmlns:pic="http://schemas.openxmlformats.org/drawingml/2006/picture">
            <wp:extent cx="6217920" cy="3496566"/>
            <wp:docPr id="5" name="Picture 5"/>
            <wp:cNvGraphicFramePr>
              <a:graphicFrameLocks noChangeAspect="1"/>
            </wp:cNvGraphicFramePr>
            <a:graphic>
              <a:graphicData uri="http://schemas.openxmlformats.org/drawingml/2006/picture">
                <pic:pic>
                  <pic:nvPicPr>
                    <pic:cNvPr id="0" name="Screenshot 2026-09-04 231117.png"/>
                    <pic:cNvPicPr/>
                  </pic:nvPicPr>
                  <pic:blipFill>
                    <a:blip r:embed="rId12"/>
                    <a:stretch>
                      <a:fillRect/>
                    </a:stretch>
                  </pic:blipFill>
                  <pic:spPr>
                    <a:xfrm>
                      <a:off x="0" y="0"/>
                      <a:ext cx="6217920" cy="3496566"/>
                    </a:xfrm>
                    <a:prstGeom prst="rect"/>
                  </pic:spPr>
                </pic:pic>
              </a:graphicData>
            </a:graphic>
          </wp:inline>
        </w:drawing>
      </w:r>
    </w:p>
    <w:p>
      <w:pPr>
        <w:jc w:val="center"/>
      </w:pPr>
      <w:r>
        <w:rPr>
          <w:i/>
          <w:sz w:val="18"/>
        </w:rPr>
        <w:t>Figure 5. Child Incident record and related information.</w:t>
      </w:r>
    </w:p>
    <w:p>
      <w:pPr>
        <w:jc w:val="center"/>
      </w:pPr>
      <w:r>
        <w:rPr>
          <w:b/>
          <w:sz w:val="21"/>
        </w:rPr>
        <w:t>Incident record – Details, assignment and priority</w:t>
      </w:r>
    </w:p>
    <w:p>
      <w:pPr>
        <w:jc w:val="center"/>
      </w:pPr>
      <w:r>
        <w:drawing>
          <wp:inline xmlns:a="http://schemas.openxmlformats.org/drawingml/2006/main" xmlns:pic="http://schemas.openxmlformats.org/drawingml/2006/picture">
            <wp:extent cx="6217920" cy="3496566"/>
            <wp:docPr id="6" name="Picture 6"/>
            <wp:cNvGraphicFramePr>
              <a:graphicFrameLocks noChangeAspect="1"/>
            </wp:cNvGraphicFramePr>
            <a:graphic>
              <a:graphicData uri="http://schemas.openxmlformats.org/drawingml/2006/picture">
                <pic:pic>
                  <pic:nvPicPr>
                    <pic:cNvPr id="0" name="Screenshot 2026-09-04 184349.png"/>
                    <pic:cNvPicPr/>
                  </pic:nvPicPr>
                  <pic:blipFill>
                    <a:blip r:embed="rId13"/>
                    <a:stretch>
                      <a:fillRect/>
                    </a:stretch>
                  </pic:blipFill>
                  <pic:spPr>
                    <a:xfrm>
                      <a:off x="0" y="0"/>
                      <a:ext cx="6217920" cy="3496566"/>
                    </a:xfrm>
                    <a:prstGeom prst="rect"/>
                  </pic:spPr>
                </pic:pic>
              </a:graphicData>
            </a:graphic>
          </wp:inline>
        </w:drawing>
      </w:r>
    </w:p>
    <w:p>
      <w:pPr>
        <w:jc w:val="center"/>
      </w:pPr>
      <w:r>
        <w:rPr>
          <w:i/>
          <w:sz w:val="18"/>
        </w:rPr>
        <w:t>Figure 6. Incident Details showing assignment group, priority, and incident information.</w:t>
      </w:r>
    </w:p>
    <w:p>
      <w:pPr>
        <w:jc w:val="center"/>
      </w:pPr>
      <w:r>
        <w:rPr>
          <w:b/>
          <w:sz w:val="21"/>
        </w:rPr>
        <w:t>Example flow – continued steps</w:t>
      </w:r>
    </w:p>
    <w:p>
      <w:pPr>
        <w:jc w:val="center"/>
      </w:pPr>
      <w:r>
        <w:drawing>
          <wp:inline xmlns:a="http://schemas.openxmlformats.org/drawingml/2006/main" xmlns:pic="http://schemas.openxmlformats.org/drawingml/2006/picture">
            <wp:extent cx="3872913" cy="5303520"/>
            <wp:docPr id="7" name="Picture 7"/>
            <wp:cNvGraphicFramePr>
              <a:graphicFrameLocks noChangeAspect="1"/>
            </wp:cNvGraphicFramePr>
            <a:graphic>
              <a:graphicData uri="http://schemas.openxmlformats.org/drawingml/2006/picture">
                <pic:pic>
                  <pic:nvPicPr>
                    <pic:cNvPr id="0" name="05ccd121-106d-4915-8085-93b2818d48db.png"/>
                    <pic:cNvPicPr/>
                  </pic:nvPicPr>
                  <pic:blipFill>
                    <a:blip r:embed="rId14"/>
                    <a:stretch>
                      <a:fillRect/>
                    </a:stretch>
                  </pic:blipFill>
                  <pic:spPr>
                    <a:xfrm>
                      <a:off x="0" y="0"/>
                      <a:ext cx="3872913" cy="5303520"/>
                    </a:xfrm>
                    <a:prstGeom prst="rect"/>
                  </pic:spPr>
                </pic:pic>
              </a:graphicData>
            </a:graphic>
          </wp:inline>
        </w:drawing>
      </w:r>
    </w:p>
    <w:p>
      <w:pPr>
        <w:jc w:val="center"/>
      </w:pPr>
      <w:r>
        <w:rPr>
          <w:i/>
          <w:sz w:val="18"/>
        </w:rPr>
        <w:t>Figure 7. Continued example flow showing assignment, priority, SLA, notification, monitoring, warning, and escalation.</w:t>
      </w:r>
    </w:p>
    <w:p>
      <w:r>
        <w:rPr>
          <w:b/>
          <w:sz w:val="24"/>
        </w:rPr>
        <w:t>Implementation Summary</w:t>
      </w:r>
    </w:p>
    <w:p>
      <w:r>
        <w:t>The documented flow starts when an incident is created, evaluates its category, determines the assignment group and priority, attaches the appropriate SLA, notifies the support group, and continues with monitoring, SLA warnings, and escalation when required.</w:t>
      </w:r>
    </w:p>
    <w:sectPr w:rsidR="00FC693F" w:rsidRPr="0006063C" w:rsidSect="00034616">
      <w:footerReference w:type="default" r:id="rId15"/>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Page </w:t>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