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1B365D"/>
          <w:sz w:val="44"/>
        </w:rPr>
        <w:t>ALEXANDER HAMILTON</w:t>
      </w:r>
    </w:p>
    <w:p>
      <w:pPr>
        <w:jc w:val="center"/>
      </w:pPr>
      <w:r>
        <w:rPr>
          <w:rFonts w:ascii="Georgia" w:hAnsi="Georgia"/>
          <w:sz w:val="20"/>
        </w:rPr>
        <w:t xml:space="preserve">Senior Software Architect  |  New York, NY  |  alex@example.com  |  </w:t>
      </w:r>
      <w:hyperlink r:id="rId9">
        <w:r>
          <w:rPr>
            <w:rStyle w:val="Hyperlink"/>
            <w:color w:val="004B87"/>
            <w:u w:val="single"/>
          </w:rPr>
          <w:t>portfolio.dev</w:t>
        </w:r>
      </w:hyperlink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Georgia" w:hAnsi="Georgia"/>
                <w:b/>
                <w:color w:val="FFFFFF"/>
                <w:sz w:val="22"/>
              </w:rPr>
              <w:t>PROFESSIONAL SUMMARY</w:t>
            </w:r>
          </w:p>
        </w:tc>
      </w:tr>
    </w:tbl>
    <w:p>
      <w:pPr>
        <w:spacing w:before="80" w:after="160"/>
      </w:pPr>
      <w:r>
        <w:rPr>
          <w:rFonts w:ascii="Georgia" w:hAnsi="Georgia"/>
        </w:rPr>
        <w:t>Accomplished systems architect with 12+ years of experience engineering high-performance offline desktop engines, native compilers, and secure cross-platform applications. Recognized for visual fidelity standards and sub-second rendering pipelines.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Georgia" w:hAnsi="Georgia"/>
                <w:b/>
                <w:color w:val="FFFFFF"/>
                <w:sz w:val="22"/>
              </w:rPr>
              <w:t>PROFESSIONAL EXPERIENCE</w:t>
            </w:r>
          </w:p>
        </w:tc>
      </w:tr>
    </w:tbl>
    <w:p>
      <w:pPr>
        <w:spacing w:before="80" w:after="40"/>
      </w:pPr>
      <w:r>
        <w:rPr>
          <w:b/>
          <w:color w:val="1B365D"/>
        </w:rPr>
        <w:t>Lead Systems Engineer  |  Apex Architecture Labs</w:t>
      </w:r>
      <w:r>
        <w:rPr>
          <w:i/>
        </w:rPr>
        <w:t xml:space="preserve">          2020 – Present</w:t>
      </w:r>
    </w:p>
    <w:p>
      <w:pPr>
        <w:pStyle w:val="ListBullet"/>
        <w:spacing w:before="40" w:after="40"/>
      </w:pPr>
      <w:r>
        <w:rPr>
          <w:rFonts w:ascii="Georgia" w:hAnsi="Georgia"/>
          <w:sz w:val="20"/>
        </w:rPr>
        <w:t>Architected native document conversion engine achieving 99.98% visual fidelity across complex vector layouts.</w:t>
      </w:r>
    </w:p>
    <w:p>
      <w:pPr>
        <w:pStyle w:val="ListBullet"/>
        <w:spacing w:before="40" w:after="40"/>
      </w:pPr>
      <w:r>
        <w:rPr>
          <w:rFonts w:ascii="Georgia" w:hAnsi="Georgia"/>
          <w:sz w:val="20"/>
        </w:rPr>
        <w:t>Engineered zero-loss font metric mapping, preventing layout reflow and font substitution degradation.</w:t>
      </w:r>
    </w:p>
    <w:p>
      <w:pPr>
        <w:pStyle w:val="ListBullet"/>
        <w:spacing w:before="40" w:after="40"/>
      </w:pPr>
      <w:r>
        <w:rPr>
          <w:rFonts w:ascii="Georgia" w:hAnsi="Georgia"/>
          <w:sz w:val="20"/>
        </w:rPr>
        <w:t>Led offline-first desktop initiative, eliminating runtime network dependencies and reducing latency by 85%.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Georgia" w:hAnsi="Georgia"/>
                <w:b/>
                <w:color w:val="FFFFFF"/>
                <w:sz w:val="22"/>
              </w:rPr>
              <w:t>EDUCATION &amp; CREDENTIALS</w:t>
            </w:r>
          </w:p>
        </w:tc>
      </w:tr>
    </w:tbl>
    <w:p>
      <w:pPr>
        <w:spacing w:before="80" w:after="40"/>
      </w:pPr>
      <w:r>
        <w:rPr>
          <w:b/>
        </w:rPr>
        <w:t>B.S. in Computer Science  |  Columbia University</w:t>
      </w:r>
    </w:p>
    <w:p>
      <w:pPr>
        <w:spacing w:before="40"/>
      </w:pPr>
      <w:r>
        <w:t xml:space="preserve">Verified Credentials: </w:t>
      </w:r>
      <w:hyperlink r:id="rId10">
        <w:r>
          <w:rPr>
            <w:rStyle w:val="Hyperlink"/>
            <w:color w:val="004B87"/>
            <w:u w:val="single"/>
          </w:rPr>
          <w:t>https://credentials.columbia.edu/alex</w:t>
        </w:r>
      </w:hyperlink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alex-hamilton" TargetMode="External"/><Relationship Id="rId10" Type="http://schemas.openxmlformats.org/officeDocument/2006/relationships/hyperlink" Target="https://credentials.columbia.edu/ale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