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Exploratory Data Analysis (EDA) Summary Report</w:t>
      </w:r>
    </w:p>
    <w:p>
      <w:pPr>
        <w:spacing w:after="80" w:before="0"/>
        <w:jc w:val="center"/>
      </w:pPr>
      <w:r>
        <w:rPr>
          <w:rFonts w:ascii="Arial" w:cs="Arial" w:eastAsia="Arial" w:hAnsi="Arial"/>
          <w:color w:val="2E74B5"/>
          <w:sz w:val="24"/>
          <w:szCs w:val="24"/>
        </w:rPr>
        <w:t xml:space="preserve">Geldium Financial Services | Delinquency Risk Project</w:t>
      </w:r>
    </w:p>
    <w:p>
      <w:pPr>
        <w:spacing w:after="80" w:before="0"/>
        <w:jc w:val="center"/>
      </w:pPr>
      <w:r>
        <w:rPr>
          <w:rFonts w:ascii="Arial" w:cs="Arial" w:eastAsia="Arial" w:hAnsi="Arial"/>
          <w:color w:val="555555"/>
          <w:sz w:val="22"/>
          <w:szCs w:val="22"/>
        </w:rPr>
        <w:t xml:space="preserve">Prepared by: Tata iQ Analytics Team</w:t>
      </w:r>
    </w:p>
    <w:p>
      <w:pPr>
        <w:spacing w:after="480" w:before="0"/>
        <w:jc w:val="center"/>
      </w:pPr>
      <w:r>
        <w:rPr>
          <w:rFonts w:ascii="Arial" w:cs="Arial" w:eastAsia="Arial" w:hAnsi="Arial"/>
          <w:color w:val="555555"/>
          <w:sz w:val="22"/>
          <w:szCs w:val="22"/>
        </w:rPr>
        <w:t xml:space="preserve">Date: May 2026</w:t>
      </w:r>
    </w:p>
    <w:p>
      <w:pPr>
        <w:pBdr>
          <w:bottom w:val="single" w:color="1F4E79" w:sz="6" w:space="1"/>
        </w:pBdr>
        <w:spacing w:after="400" w:before="0"/>
      </w:pPr>
      <w:r>
        <w:t xml:space="preserve"/>
      </w:r>
    </w:p>
    <w:p>
      <w:pPr>
        <w:pStyle w:val="Heading1"/>
        <w:spacing w:after="160" w:before="360"/>
      </w:pPr>
      <w:r>
        <w:rPr>
          <w:rFonts w:ascii="Arial" w:cs="Arial" w:eastAsia="Arial" w:hAnsi="Arial"/>
          <w:b/>
          <w:bCs/>
          <w:color w:val="1F4E79"/>
          <w:sz w:val="30"/>
          <w:szCs w:val="30"/>
        </w:rPr>
        <w:t xml:space="preserve">1. Introduction</w:t>
      </w:r>
    </w:p>
    <w:p>
      <w:pPr>
        <w:spacing w:after="80" w:before="80"/>
      </w:pPr>
      <w:r>
        <w:rPr>
          <w:rFonts w:ascii="Arial" w:cs="Arial" w:eastAsia="Arial" w:hAnsi="Arial"/>
          <w:b w:val="false"/>
          <w:bCs w:val="false"/>
          <w:color w:val="222222"/>
          <w:sz w:val="22"/>
          <w:szCs w:val="22"/>
        </w:rPr>
        <w:t xml:space="preserve">This report presents the findings of an Exploratory Data Analysis (EDA) conducted on Geldium's customer credit dataset. The primary goal is to assess data quality, identify missing values, detect patterns, and uncover early risk indicators that could predict credit card delinquency.</w:t>
      </w:r>
    </w:p>
    <w:p>
      <w:pPr>
        <w:spacing w:after="60" w:before="60"/>
      </w:pPr>
      <w:r>
        <w:t xml:space="preserve"/>
      </w:r>
    </w:p>
    <w:p>
      <w:pPr>
        <w:spacing w:after="80" w:before="80"/>
      </w:pPr>
      <w:r>
        <w:rPr>
          <w:rFonts w:ascii="Arial" w:cs="Arial" w:eastAsia="Arial" w:hAnsi="Arial"/>
          <w:b w:val="false"/>
          <w:bCs w:val="false"/>
          <w:color w:val="222222"/>
          <w:sz w:val="22"/>
          <w:szCs w:val="22"/>
        </w:rPr>
        <w:t xml:space="preserve">The analysis supports Tata iQ's mission to build an AI-powered predictive model that helps Geldium's Collections team proactively identify at-risk customers and apply targeted intervention strategies — ultimately reducing delinquency rates and improving customer engagement.</w:t>
      </w:r>
    </w:p>
    <w:p>
      <w:pPr>
        <w:spacing w:after="60" w:before="60"/>
      </w:pPr>
      <w:r>
        <w:t xml:space="preserve"/>
      </w:r>
    </w:p>
    <w:p>
      <w:pPr>
        <w:pStyle w:val="Heading1"/>
        <w:spacing w:after="160" w:before="360"/>
      </w:pPr>
      <w:r>
        <w:rPr>
          <w:rFonts w:ascii="Arial" w:cs="Arial" w:eastAsia="Arial" w:hAnsi="Arial"/>
          <w:b/>
          <w:bCs/>
          <w:color w:val="1F4E79"/>
          <w:sz w:val="30"/>
          <w:szCs w:val="30"/>
        </w:rPr>
        <w:t xml:space="preserve">2. Dataset Overview</w:t>
      </w:r>
    </w:p>
    <w:p>
      <w:pPr>
        <w:spacing w:after="80" w:before="80"/>
      </w:pPr>
      <w:r>
        <w:rPr>
          <w:rFonts w:ascii="Arial" w:cs="Arial" w:eastAsia="Arial" w:hAnsi="Arial"/>
          <w:b w:val="false"/>
          <w:bCs w:val="false"/>
          <w:color w:val="222222"/>
          <w:sz w:val="22"/>
          <w:szCs w:val="22"/>
        </w:rPr>
        <w:t xml:space="preserve">The dataset contains financial and behavioural attributes of Geldium customers, used to predict delinquency risk based on past financial activity, credit history, and employment status.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Key Dataset Attributes</w:t>
      </w:r>
    </w:p>
    <w:p>
      <w:pPr>
        <w:pStyle w:val="ListParagraph"/>
        <w:numPr>
          <w:ilvl w:val="0"/>
          <w:numId w:val="2"/>
        </w:numPr>
        <w:spacing w:after="60" w:before="60"/>
      </w:pPr>
      <w:r>
        <w:rPr>
          <w:rFonts w:ascii="Arial" w:cs="Arial" w:eastAsia="Arial" w:hAnsi="Arial"/>
          <w:b w:val="false"/>
          <w:bCs w:val="false"/>
          <w:sz w:val="22"/>
          <w:szCs w:val="22"/>
        </w:rPr>
        <w:t xml:space="preserve">Number of records: 500 customers</w:t>
      </w:r>
    </w:p>
    <w:p>
      <w:pPr>
        <w:pStyle w:val="ListParagraph"/>
        <w:numPr>
          <w:ilvl w:val="0"/>
          <w:numId w:val="2"/>
        </w:numPr>
        <w:spacing w:after="60" w:before="60"/>
      </w:pPr>
      <w:r>
        <w:rPr>
          <w:rFonts w:ascii="Arial" w:cs="Arial" w:eastAsia="Arial" w:hAnsi="Arial"/>
          <w:b w:val="false"/>
          <w:bCs w:val="false"/>
          <w:sz w:val="22"/>
          <w:szCs w:val="22"/>
        </w:rPr>
        <w:t xml:space="preserve">Number of columns: 19 variables</w:t>
      </w:r>
    </w:p>
    <w:p>
      <w:pPr>
        <w:pStyle w:val="ListParagraph"/>
        <w:numPr>
          <w:ilvl w:val="0"/>
          <w:numId w:val="2"/>
        </w:numPr>
        <w:spacing w:after="60" w:before="60"/>
      </w:pPr>
      <w:r>
        <w:rPr>
          <w:rFonts w:ascii="Arial" w:cs="Arial" w:eastAsia="Arial" w:hAnsi="Arial"/>
          <w:b w:val="false"/>
          <w:bCs w:val="false"/>
          <w:sz w:val="22"/>
          <w:szCs w:val="22"/>
        </w:rPr>
        <w:t xml:space="preserve">Overall delinquency rate: 16% (80 out of 500 customers)</w:t>
      </w:r>
    </w:p>
    <w:p>
      <w:pPr>
        <w:pStyle w:val="ListParagraph"/>
        <w:numPr>
          <w:ilvl w:val="0"/>
          <w:numId w:val="2"/>
        </w:numPr>
        <w:spacing w:after="60" w:before="60"/>
      </w:pPr>
      <w:r>
        <w:rPr>
          <w:rFonts w:ascii="Arial" w:cs="Arial" w:eastAsia="Arial" w:hAnsi="Arial"/>
          <w:b w:val="false"/>
          <w:bCs w:val="false"/>
          <w:sz w:val="22"/>
          <w:szCs w:val="22"/>
        </w:rPr>
        <w:t xml:space="preserve">Target variable: Delinquent_Account (Binary: 0 = No, 1 = Yes)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Key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Unique identifier for each customer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Numerical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Customer age in years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Income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Numerical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Annual income in USD (had missing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Credit_Score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Numerical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Credit score ranging from 300 to 850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Credit_Utilization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Numerical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Percentage of credit limit in use (0–100%)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Missed_Payments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Numerical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missed payments in last 12 months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Delinquent_Account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Binary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 = Not delinquent, 1 = Delinquent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Loan_Balance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Numerical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outstanding loan balance in USD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Debt_to_Income_Ratio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Numerical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Ratio of total debt to income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Employment_Status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Employed / Unemployed / Self-Employed / Retired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Account_Tenure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Numerical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Years customer has held active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Month_1 to Month_6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Monthly payment: 0=On-time, 1=Late, 2=Missed</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Data Quality Anomalies Observed</w:t>
      </w:r>
    </w:p>
    <w:p>
      <w:pPr>
        <w:pStyle w:val="ListParagraph"/>
        <w:numPr>
          <w:ilvl w:val="0"/>
          <w:numId w:val="2"/>
        </w:numPr>
        <w:spacing w:after="60" w:before="60"/>
      </w:pPr>
      <w:r>
        <w:rPr>
          <w:rFonts w:ascii="Arial" w:cs="Arial" w:eastAsia="Arial" w:hAnsi="Arial"/>
          <w:b w:val="false"/>
          <w:bCs w:val="false"/>
          <w:sz w:val="22"/>
          <w:szCs w:val="22"/>
        </w:rPr>
        <w:t xml:space="preserve">Credit_Utilization was stored as decimals (e.g. 0.39) instead of percentages (39%) — required multiplication by 100</w:t>
      </w:r>
    </w:p>
    <w:p>
      <w:pPr>
        <w:pStyle w:val="ListParagraph"/>
        <w:numPr>
          <w:ilvl w:val="0"/>
          <w:numId w:val="2"/>
        </w:numPr>
        <w:spacing w:after="60" w:before="60"/>
      </w:pPr>
      <w:r>
        <w:rPr>
          <w:rFonts w:ascii="Arial" w:cs="Arial" w:eastAsia="Arial" w:hAnsi="Arial"/>
          <w:b w:val="false"/>
          <w:bCs w:val="false"/>
          <w:sz w:val="22"/>
          <w:szCs w:val="22"/>
        </w:rPr>
        <w:t xml:space="preserve">One customer showed Credit_Utilization of 102.58% — exceeding their credit limit, flagged as a high-risk anomaly</w:t>
      </w:r>
    </w:p>
    <w:p>
      <w:pPr>
        <w:pStyle w:val="ListParagraph"/>
        <w:numPr>
          <w:ilvl w:val="0"/>
          <w:numId w:val="2"/>
        </w:numPr>
        <w:spacing w:after="60" w:before="60"/>
      </w:pPr>
      <w:r>
        <w:rPr>
          <w:rFonts w:ascii="Arial" w:cs="Arial" w:eastAsia="Arial" w:hAnsi="Arial"/>
          <w:b w:val="false"/>
          <w:bCs w:val="false"/>
          <w:sz w:val="22"/>
          <w:szCs w:val="22"/>
        </w:rPr>
        <w:t xml:space="preserve">Employment_Status had inconsistent labels: 'EMP', 'employed', 'Employed', 'Self-employed', 'retired' — all requiring standardisation</w:t>
      </w:r>
    </w:p>
    <w:p>
      <w:pPr>
        <w:spacing w:after="60" w:before="60"/>
      </w:pPr>
      <w:r>
        <w:t xml:space="preserve"/>
      </w:r>
    </w:p>
    <w:p>
      <w:pPr>
        <w:pStyle w:val="Heading1"/>
        <w:spacing w:after="160" w:before="360"/>
      </w:pPr>
      <w:r>
        <w:rPr>
          <w:rFonts w:ascii="Arial" w:cs="Arial" w:eastAsia="Arial" w:hAnsi="Arial"/>
          <w:b/>
          <w:bCs/>
          <w:color w:val="1F4E79"/>
          <w:sz w:val="30"/>
          <w:szCs w:val="30"/>
        </w:rPr>
        <w:t xml:space="preserve">3. Missing Data Analysis</w:t>
      </w:r>
    </w:p>
    <w:p>
      <w:pPr>
        <w:spacing w:after="80" w:before="80"/>
      </w:pPr>
      <w:r>
        <w:rPr>
          <w:rFonts w:ascii="Arial" w:cs="Arial" w:eastAsia="Arial" w:hAnsi="Arial"/>
          <w:b w:val="false"/>
          <w:bCs w:val="false"/>
          <w:color w:val="222222"/>
          <w:sz w:val="22"/>
          <w:szCs w:val="22"/>
        </w:rPr>
        <w:t xml:space="preserve">Identifying and addressing missing data is critical to ensuring model accuracy. The table below outlines missing values found, the treatment applied, and the justification for each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2500"/>
        <w:gridCol w:w="24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Missing Values</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 Missing</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Treatment Applied</w:t>
            </w:r>
          </w:p>
        </w:tc>
        <w:tc>
          <w:tcPr>
            <w:tcW w:type="dxa" w:w="24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Income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7.8%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Median imputation by Employment Status</w:t>
            </w:r>
          </w:p>
        </w:tc>
        <w:tc>
          <w:tcPr>
            <w:tcW w:type="dxa" w:w="2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Preserves realistic income distribution per job type; avoids bias from outliers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Loan_Balance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Overall median imputation ($45,776)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Median is robust to extreme values; prevents skew from very high/low balances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Credit_Score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Overall median imputation (586)</w:t>
            </w:r>
          </w:p>
        </w:tc>
        <w:tc>
          <w:tcPr>
            <w:tcW w:type="dxa" w:w="2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Very few values missing; simple median fill is sufficient and accurate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Employment_Status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Standardised inconsistent labels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Ensures model treats same category as one group, not multiple separate ones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Credit_Utilization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Multiplied all values × 100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Converted from decimal format to proper percentage format for accuracy</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Summary Observation</w:t>
      </w:r>
    </w:p>
    <w:p>
      <w:pPr>
        <w:spacing w:after="80" w:before="80"/>
      </w:pPr>
      <w:r>
        <w:rPr>
          <w:rFonts w:ascii="Arial" w:cs="Arial" w:eastAsia="Arial" w:hAnsi="Arial"/>
          <w:b w:val="false"/>
          <w:bCs w:val="false"/>
          <w:color w:val="222222"/>
          <w:sz w:val="22"/>
          <w:szCs w:val="22"/>
        </w:rPr>
        <w:t xml:space="preserve">The Geldium dataset contains 500 customer records across 19 variables, with an overall delinquency rate of 16%. The most critical data quality issues are 39 missing income values and 29 missing loan balance entries, both of which are key predictors that required imputation before modelling. A significant inconsistency was found in the Employment Status field, where the same category appeared in multiple formats (e.g., 'Employed', 'employed', 'EMP'), which was standardised to avoid errors. Credit Utilization was stored as a decimal rather than a percentage, requiring transformation. Despite these issues, the dataset contains strong predictive signals that can form the foundation of a reliable delinquency model.</w:t>
      </w:r>
    </w:p>
    <w:p>
      <w:pPr>
        <w:spacing w:after="60" w:before="60"/>
      </w:pPr>
      <w:r>
        <w:t xml:space="preserve"/>
      </w:r>
    </w:p>
    <w:p>
      <w:pPr>
        <w:pStyle w:val="Heading1"/>
        <w:spacing w:after="160" w:before="360"/>
      </w:pPr>
      <w:r>
        <w:rPr>
          <w:rFonts w:ascii="Arial" w:cs="Arial" w:eastAsia="Arial" w:hAnsi="Arial"/>
          <w:b/>
          <w:bCs/>
          <w:color w:val="1F4E79"/>
          <w:sz w:val="30"/>
          <w:szCs w:val="30"/>
        </w:rPr>
        <w:t xml:space="preserve">4. Key Findings and Risk Indicators</w:t>
      </w:r>
    </w:p>
    <w:p>
      <w:pPr>
        <w:spacing w:after="80" w:before="80"/>
      </w:pPr>
      <w:r>
        <w:rPr>
          <w:rFonts w:ascii="Arial" w:cs="Arial" w:eastAsia="Arial" w:hAnsi="Arial"/>
          <w:b w:val="false"/>
          <w:bCs w:val="false"/>
          <w:color w:val="222222"/>
          <w:sz w:val="22"/>
          <w:szCs w:val="22"/>
        </w:rPr>
        <w:t xml:space="preserve">After cleaning the dataset, the following patterns and risk indicators were identified through analysis of variable relationships and delinquency outcomes.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High-Risk Indicators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800"/>
        <w:gridCol w:w="39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1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Risk Indicator</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Finding</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Missed Payments (5+)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22.1% delinquency rate — highest of any group</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Strongest single predictor; past missed payments directly signal inability or unwillingness to repay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Unemployed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19.4% delinquency rate vs 16.2% for employed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steady income makes debt repayment difficult; unemployment is a well-established financial stress indicator</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Age Group 46–60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21.7% delinquency rate — highest age group</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Peak life expenses (mortgage, education, medical) likely strain finances at this stage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Business Card Holders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21.3% delinquency rate — highest card type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Business cash flow problems may spill into personal payment failures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High Credit Utilization (&gt;70%)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15.9% delinquency rate among this group</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Using most of available credit signals financial stress and reduced repayment capacity</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Delinquent vs Non-Delinquent Customer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Factor</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Non-Delinquent Customers</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Delinquent Customers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Average Credit Score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575</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591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Average Credit Utilization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48.9%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50.7%</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Average Debt-to-Income Ratio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29.7%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30.6%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Average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$107,322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$113,539</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Unexpected / Surprising Findings</w:t>
      </w:r>
    </w:p>
    <w:p>
      <w:pPr>
        <w:pStyle w:val="ListParagraph"/>
        <w:numPr>
          <w:ilvl w:val="0"/>
          <w:numId w:val="2"/>
        </w:numPr>
        <w:spacing w:after="60" w:before="60"/>
      </w:pPr>
      <w:r>
        <w:rPr>
          <w:rFonts w:ascii="Arial" w:cs="Arial" w:eastAsia="Arial" w:hAnsi="Arial"/>
          <w:b w:val="false"/>
          <w:bCs w:val="false"/>
          <w:sz w:val="22"/>
          <w:szCs w:val="22"/>
        </w:rPr>
        <w:t xml:space="preserve">Higher income customers are also going delinquent — income alone cannot predict risk; spending behaviour matters more</w:t>
      </w:r>
    </w:p>
    <w:p>
      <w:pPr>
        <w:pStyle w:val="ListParagraph"/>
        <w:numPr>
          <w:ilvl w:val="0"/>
          <w:numId w:val="2"/>
        </w:numPr>
        <w:spacing w:after="60" w:before="60"/>
      </w:pPr>
      <w:r>
        <w:rPr>
          <w:rFonts w:ascii="Arial" w:cs="Arial" w:eastAsia="Arial" w:hAnsi="Arial"/>
          <w:b w:val="false"/>
          <w:bCs w:val="false"/>
          <w:sz w:val="22"/>
          <w:szCs w:val="22"/>
        </w:rPr>
        <w:t xml:space="preserve">Retired customers have the lowest delinquency rate (11.5%) — fixed pension income provides stable, predictable cash flow</w:t>
      </w:r>
    </w:p>
    <w:p>
      <w:pPr>
        <w:pStyle w:val="ListParagraph"/>
        <w:numPr>
          <w:ilvl w:val="0"/>
          <w:numId w:val="2"/>
        </w:numPr>
        <w:spacing w:after="60" w:before="60"/>
      </w:pPr>
      <w:r>
        <w:rPr>
          <w:rFonts w:ascii="Arial" w:cs="Arial" w:eastAsia="Arial" w:hAnsi="Arial"/>
          <w:b w:val="false"/>
          <w:bCs w:val="false"/>
          <w:sz w:val="22"/>
          <w:szCs w:val="22"/>
        </w:rPr>
        <w:t xml:space="preserve">Business card holders are the riskiest card type (21.3%) — an unexpected finding requiring further investigation</w:t>
      </w:r>
    </w:p>
    <w:p>
      <w:pPr>
        <w:spacing w:after="60" w:before="60"/>
      </w:pPr>
      <w:r>
        <w:t xml:space="preserve"/>
      </w:r>
    </w:p>
    <w:p>
      <w:pPr>
        <w:pStyle w:val="Heading1"/>
        <w:spacing w:after="160" w:before="360"/>
      </w:pPr>
      <w:r>
        <w:rPr>
          <w:rFonts w:ascii="Arial" w:cs="Arial" w:eastAsia="Arial" w:hAnsi="Arial"/>
          <w:b/>
          <w:bCs/>
          <w:color w:val="1F4E79"/>
          <w:sz w:val="30"/>
          <w:szCs w:val="30"/>
        </w:rPr>
        <w:t xml:space="preserve">5. AI &amp; GenAI Usage</w:t>
      </w:r>
    </w:p>
    <w:p>
      <w:pPr>
        <w:spacing w:after="80" w:before="80"/>
      </w:pPr>
      <w:r>
        <w:rPr>
          <w:rFonts w:ascii="Arial" w:cs="Arial" w:eastAsia="Arial" w:hAnsi="Arial"/>
          <w:b w:val="false"/>
          <w:bCs w:val="false"/>
          <w:color w:val="222222"/>
          <w:sz w:val="22"/>
          <w:szCs w:val="22"/>
        </w:rPr>
        <w:t xml:space="preserve">Generative AI tools were used throughout this EDA to accelerate dataset summarisation, suggest imputation strategies, and detect patterns. Below are the key prompts used and the insights they generated.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AI Prompt Used</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Outcome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Summarize key patterns, outliers, and missing values in this dataset. Highlight any fields that might present problems for modeling delinquency.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Dataset overview &amp; quality check</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Identified 3 columns with missing data, decimal formatting issue in Credit_Utilization, and inconsistent Employment_Status labels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Identify the top 3 variables most likely to predict delinquency based on this dataset. Provide brief 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Feature importance identification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Ranked Missed_Payments, Debt_to_Income_Ratio, and Monthly Payment History as top predictors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Suggest an imputation strategy for missing values in this dataset based on industry best practices.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Missing data treatment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Recommended median imputation grouped by Employment_Status for Income; overall median for Loan_Balance and Credit_Score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Identify patterns between credit utilization, missed payments, and delinquency outcomes.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Risk pattern detection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Confirmed that customers with 5+ missed payments and &gt;70% credit utilization show elevated delinquency rates</w:t>
            </w:r>
          </w:p>
        </w:tc>
      </w:tr>
    </w:tbl>
    <w:p>
      <w:pPr>
        <w:spacing w:after="60" w:before="60"/>
      </w:pPr>
      <w:r>
        <w:t xml:space="preserve"/>
      </w:r>
    </w:p>
    <w:p>
      <w:pPr>
        <w:pStyle w:val="Heading1"/>
        <w:spacing w:after="160" w:before="360"/>
      </w:pPr>
      <w:r>
        <w:rPr>
          <w:rFonts w:ascii="Arial" w:cs="Arial" w:eastAsia="Arial" w:hAnsi="Arial"/>
          <w:b/>
          <w:bCs/>
          <w:color w:val="1F4E79"/>
          <w:sz w:val="30"/>
          <w:szCs w:val="30"/>
        </w:rPr>
        <w:t xml:space="preserve">6. Conclusion &amp; Next Steps</w:t>
      </w:r>
    </w:p>
    <w:p>
      <w:pPr>
        <w:spacing w:after="80" w:before="80"/>
      </w:pPr>
      <w:r>
        <w:rPr>
          <w:rFonts w:ascii="Arial" w:cs="Arial" w:eastAsia="Arial" w:hAnsi="Arial"/>
          <w:b w:val="false"/>
          <w:bCs w:val="false"/>
          <w:color w:val="222222"/>
          <w:sz w:val="22"/>
          <w:szCs w:val="22"/>
        </w:rPr>
        <w:t xml:space="preserve">The EDA has successfully identified key data quality issues, corrected inconsistencies, and uncovered meaningful risk patterns within Geldium's customer dataset. The data is now cleaner and more reliable for use in predictive modelling.</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Key Conclusions</w:t>
      </w:r>
    </w:p>
    <w:p>
      <w:pPr>
        <w:pStyle w:val="ListParagraph"/>
        <w:numPr>
          <w:ilvl w:val="0"/>
          <w:numId w:val="2"/>
        </w:numPr>
        <w:spacing w:after="60" w:before="60"/>
      </w:pPr>
      <w:r>
        <w:rPr>
          <w:rFonts w:ascii="Arial" w:cs="Arial" w:eastAsia="Arial" w:hAnsi="Arial"/>
          <w:b w:val="false"/>
          <w:bCs w:val="false"/>
          <w:sz w:val="22"/>
          <w:szCs w:val="22"/>
        </w:rPr>
        <w:t xml:space="preserve">Missed Payments, Employment Status, Age Group (46–60), and Card Type are the strongest delinquency risk indicators</w:t>
      </w:r>
    </w:p>
    <w:p>
      <w:pPr>
        <w:pStyle w:val="ListParagraph"/>
        <w:numPr>
          <w:ilvl w:val="0"/>
          <w:numId w:val="2"/>
        </w:numPr>
        <w:spacing w:after="60" w:before="60"/>
      </w:pPr>
      <w:r>
        <w:rPr>
          <w:rFonts w:ascii="Arial" w:cs="Arial" w:eastAsia="Arial" w:hAnsi="Arial"/>
          <w:b w:val="false"/>
          <w:bCs w:val="false"/>
          <w:sz w:val="22"/>
          <w:szCs w:val="22"/>
        </w:rPr>
        <w:t xml:space="preserve">Income alone does not predict delinquency — behavioural patterns matter more</w:t>
      </w:r>
    </w:p>
    <w:p>
      <w:pPr>
        <w:pStyle w:val="ListParagraph"/>
        <w:numPr>
          <w:ilvl w:val="0"/>
          <w:numId w:val="2"/>
        </w:numPr>
        <w:spacing w:after="60" w:before="60"/>
      </w:pPr>
      <w:r>
        <w:rPr>
          <w:rFonts w:ascii="Arial" w:cs="Arial" w:eastAsia="Arial" w:hAnsi="Arial"/>
          <w:b w:val="false"/>
          <w:bCs w:val="false"/>
          <w:sz w:val="22"/>
          <w:szCs w:val="22"/>
        </w:rPr>
        <w:t xml:space="preserve">Retired customers are the lowest-risk segment; Business card holders are the highest-risk</w:t>
      </w:r>
    </w:p>
    <w:p>
      <w:pPr>
        <w:pStyle w:val="ListParagraph"/>
        <w:numPr>
          <w:ilvl w:val="0"/>
          <w:numId w:val="2"/>
        </w:numPr>
        <w:spacing w:after="60" w:before="60"/>
      </w:pPr>
      <w:r>
        <w:rPr>
          <w:rFonts w:ascii="Arial" w:cs="Arial" w:eastAsia="Arial" w:hAnsi="Arial"/>
          <w:b w:val="false"/>
          <w:bCs w:val="false"/>
          <w:sz w:val="22"/>
          <w:szCs w:val="22"/>
        </w:rPr>
        <w:t xml:space="preserve">All missing values have been treated and data inconsistencies resolved</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Recommended Next Steps</w:t>
      </w:r>
    </w:p>
    <w:p>
      <w:pPr>
        <w:pStyle w:val="ListParagraph"/>
        <w:numPr>
          <w:ilvl w:val="0"/>
          <w:numId w:val="2"/>
        </w:numPr>
        <w:spacing w:after="60" w:before="60"/>
      </w:pPr>
      <w:r>
        <w:rPr>
          <w:rFonts w:ascii="Arial" w:cs="Arial" w:eastAsia="Arial" w:hAnsi="Arial"/>
          <w:b w:val="false"/>
          <w:bCs w:val="false"/>
          <w:sz w:val="22"/>
          <w:szCs w:val="22"/>
        </w:rPr>
        <w:t xml:space="preserve">Step 1 — Build Predictive Model: Use cleaned dataset to develop a delinquency prediction model using key risk variables identified</w:t>
      </w:r>
    </w:p>
    <w:p>
      <w:pPr>
        <w:pStyle w:val="ListParagraph"/>
        <w:numPr>
          <w:ilvl w:val="0"/>
          <w:numId w:val="2"/>
        </w:numPr>
        <w:spacing w:after="60" w:before="60"/>
      </w:pPr>
      <w:r>
        <w:rPr>
          <w:rFonts w:ascii="Arial" w:cs="Arial" w:eastAsia="Arial" w:hAnsi="Arial"/>
          <w:b w:val="false"/>
          <w:bCs w:val="false"/>
          <w:sz w:val="22"/>
          <w:szCs w:val="22"/>
        </w:rPr>
        <w:t xml:space="preserve">Step 2 — Feature Engineering: Create composite risk scores combining Missed_Payments, Credit_Utilization, and Debt_to_Income_Ratio</w:t>
      </w:r>
    </w:p>
    <w:p>
      <w:pPr>
        <w:pStyle w:val="ListParagraph"/>
        <w:numPr>
          <w:ilvl w:val="0"/>
          <w:numId w:val="2"/>
        </w:numPr>
        <w:spacing w:after="60" w:before="60"/>
      </w:pPr>
      <w:r>
        <w:rPr>
          <w:rFonts w:ascii="Arial" w:cs="Arial" w:eastAsia="Arial" w:hAnsi="Arial"/>
          <w:b w:val="false"/>
          <w:bCs w:val="false"/>
          <w:sz w:val="22"/>
          <w:szCs w:val="22"/>
        </w:rPr>
        <w:t xml:space="preserve">Step 3 — Intervention Strategy: Design targeted outreach for high-risk segments (unemployed, age 46–60, business card holders)</w:t>
      </w:r>
    </w:p>
    <w:p>
      <w:pPr>
        <w:pStyle w:val="ListParagraph"/>
        <w:numPr>
          <w:ilvl w:val="0"/>
          <w:numId w:val="2"/>
        </w:numPr>
        <w:spacing w:after="60" w:before="60"/>
      </w:pPr>
      <w:r>
        <w:rPr>
          <w:rFonts w:ascii="Arial" w:cs="Arial" w:eastAsia="Arial" w:hAnsi="Arial"/>
          <w:b w:val="false"/>
          <w:bCs w:val="false"/>
          <w:sz w:val="22"/>
          <w:szCs w:val="22"/>
        </w:rPr>
        <w:t xml:space="preserve">Step 4 — Ethical Review: Ensure model fairness — avoid bias based on age, employment status, or location</w:t>
      </w:r>
    </w:p>
    <w:p>
      <w:pPr>
        <w:pStyle w:val="ListParagraph"/>
        <w:numPr>
          <w:ilvl w:val="0"/>
          <w:numId w:val="2"/>
        </w:numPr>
        <w:spacing w:after="60" w:before="60"/>
      </w:pPr>
      <w:r>
        <w:rPr>
          <w:rFonts w:ascii="Arial" w:cs="Arial" w:eastAsia="Arial" w:hAnsi="Arial"/>
          <w:b w:val="false"/>
          <w:bCs w:val="false"/>
          <w:sz w:val="22"/>
          <w:szCs w:val="22"/>
        </w:rPr>
        <w:t xml:space="preserve">Step 5 — Model Monitoring: Set up ongoing monitoring to track model accuracy and flag emerging risk patterns</w:t>
      </w:r>
    </w:p>
    <w:p>
      <w:pPr>
        <w:spacing w:after="60" w:before="60"/>
      </w:pPr>
      <w:r>
        <w:t xml:space="preserve"/>
      </w:r>
    </w:p>
    <w:p>
      <w:pPr>
        <w:pBdr>
          <w:top w:val="single" w:color="1F4E79" w:sz="6" w:space="1"/>
        </w:pBdr>
        <w:spacing w:after="120" w:before="400"/>
        <w:jc w:val="center"/>
      </w:pPr>
      <w:r>
        <w:rPr>
          <w:rFonts w:ascii="Arial" w:cs="Arial" w:eastAsia="Arial" w:hAnsi="Arial"/>
          <w:color w:val="888888"/>
          <w:sz w:val="18"/>
          <w:szCs w:val="18"/>
        </w:rPr>
        <w:t xml:space="preserve">Prepared by Tata iQ | Confidential | Geldium Delinquency Risk Project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2026-05-16T16:03:27.811Z</dcterms:created>
  <dcterms:modified xsi:type="dcterms:W3CDTF">2026-05-16T16:03:27.811Z</dcterms:modified>
</cp:coreProperties>
</file>

<file path=docProps/custom.xml><?xml version="1.0" encoding="utf-8"?>
<Properties xmlns="http://schemas.openxmlformats.org/officeDocument/2006/custom-properties" xmlns:vt="http://schemas.openxmlformats.org/officeDocument/2006/docPropsVTypes"/>
</file>