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4E79"/>
          <w:sz w:val="44"/>
          <w:szCs w:val="44"/>
        </w:rPr>
        <w:t xml:space="preserve">Predictive Model Plan</w:t>
      </w:r>
    </w:p>
    <w:p>
      <w:pPr>
        <w:spacing w:after="80" w:before="0"/>
        <w:jc w:val="center"/>
      </w:pPr>
      <w:r>
        <w:rPr>
          <w:rFonts w:ascii="Arial" w:cs="Arial" w:eastAsia="Arial" w:hAnsi="Arial"/>
          <w:color w:val="2E74B5"/>
          <w:sz w:val="24"/>
          <w:szCs w:val="24"/>
        </w:rPr>
        <w:t xml:space="preserve">Geldium Financial Services | Credit Delinquency Risk Prediction</w:t>
      </w:r>
    </w:p>
    <w:p>
      <w:pPr>
        <w:spacing w:after="80" w:before="0"/>
        <w:jc w:val="center"/>
      </w:pPr>
      <w:r>
        <w:rPr>
          <w:rFonts w:ascii="Arial" w:cs="Arial" w:eastAsia="Arial" w:hAnsi="Arial"/>
          <w:color w:val="555555"/>
          <w:sz w:val="22"/>
          <w:szCs w:val="22"/>
        </w:rPr>
        <w:t xml:space="preserve">Prepared by: Tata iQ Analytics Team</w:t>
      </w:r>
    </w:p>
    <w:p>
      <w:pPr>
        <w:spacing w:after="480" w:before="0"/>
        <w:jc w:val="center"/>
      </w:pPr>
      <w:r>
        <w:rPr>
          <w:rFonts w:ascii="Arial" w:cs="Arial" w:eastAsia="Arial" w:hAnsi="Arial"/>
          <w:color w:val="555555"/>
          <w:sz w:val="22"/>
          <w:szCs w:val="22"/>
        </w:rPr>
        <w:t xml:space="preserve">Date: May 2026</w:t>
      </w:r>
    </w:p>
    <w:p>
      <w:pPr>
        <w:pBdr>
          <w:bottom w:val="single" w:color="1F4E79" w:sz="6" w:space="1"/>
        </w:pBdr>
        <w:spacing w:after="400" w:before="0"/>
      </w:pPr>
      <w:r>
        <w:t xml:space="preserve"/>
      </w:r>
    </w:p>
    <w:p>
      <w:pPr>
        <w:pStyle w:val="Heading1"/>
        <w:spacing w:after="160" w:before="360"/>
      </w:pPr>
      <w:r>
        <w:rPr>
          <w:rFonts w:ascii="Arial" w:cs="Arial" w:eastAsia="Arial" w:hAnsi="Arial"/>
          <w:b/>
          <w:bCs/>
          <w:color w:val="1F4E79"/>
          <w:sz w:val="30"/>
          <w:szCs w:val="30"/>
        </w:rPr>
        <w:t xml:space="preserve">1. Model Logic (Generated with GenAI)</w:t>
      </w:r>
    </w:p>
    <w:p>
      <w:pPr>
        <w:spacing w:after="80" w:before="80"/>
      </w:pPr>
      <w:r>
        <w:rPr>
          <w:rFonts w:ascii="Arial" w:cs="Arial" w:eastAsia="Arial" w:hAnsi="Arial"/>
          <w:b w:val="false"/>
          <w:bCs w:val="false"/>
          <w:color w:val="222222"/>
          <w:sz w:val="22"/>
          <w:szCs w:val="22"/>
        </w:rPr>
        <w:t xml:space="preserve">The predictive model is designed to identify Geldium customers who are most likely to become delinquent — meaning they will miss a payment beyond the 30-day threshold. By analysing historical customer data including payment behaviour, credit utilization, income, and employment status, the model generates a risk score for each customer that the Collections team can act upon proactively.</w:t>
      </w:r>
    </w:p>
    <w:p>
      <w:pPr>
        <w:spacing w:after="60" w:before="60"/>
      </w:pPr>
      <w:r>
        <w:t xml:space="preserve"/>
      </w:r>
    </w:p>
    <w:p>
      <w:pPr>
        <w:pStyle w:val="Heading2"/>
        <w:spacing w:after="120" w:before="240"/>
      </w:pPr>
      <w:r>
        <w:rPr>
          <w:rFonts w:ascii="Arial" w:cs="Arial" w:eastAsia="Arial" w:hAnsi="Arial"/>
          <w:b/>
          <w:bCs/>
          <w:color w:val="2E74B5"/>
          <w:sz w:val="24"/>
          <w:szCs w:val="24"/>
        </w:rPr>
        <w:t xml:space="preserve">1.1 Chosen Model: Random Forest Classifier</w:t>
      </w:r>
    </w:p>
    <w:p>
      <w:pPr>
        <w:spacing w:after="80" w:before="80"/>
      </w:pPr>
      <w:r>
        <w:rPr>
          <w:rFonts w:ascii="Arial" w:cs="Arial" w:eastAsia="Arial" w:hAnsi="Arial"/>
          <w:b w:val="false"/>
          <w:bCs w:val="false"/>
          <w:color w:val="222222"/>
          <w:sz w:val="22"/>
          <w:szCs w:val="22"/>
        </w:rPr>
        <w:t xml:space="preserve">Random Forest is an ensemble machine learning model that builds multiple decision trees and combines their outputs through majority voting to produce a final prediction. It was selected for this task because it offers high predictive accuracy while remaining interpretable enough for use in regulated financial environments.</w:t>
      </w:r>
    </w:p>
    <w:p>
      <w:pPr>
        <w:spacing w:after="60" w:before="60"/>
      </w:pPr>
      <w:r>
        <w:t xml:space="preserve"/>
      </w:r>
    </w:p>
    <w:p>
      <w:pPr>
        <w:pStyle w:val="Heading2"/>
        <w:spacing w:after="120" w:before="240"/>
      </w:pPr>
      <w:r>
        <w:rPr>
          <w:rFonts w:ascii="Arial" w:cs="Arial" w:eastAsia="Arial" w:hAnsi="Arial"/>
          <w:b/>
          <w:bCs/>
          <w:color w:val="2E74B5"/>
          <w:sz w:val="24"/>
          <w:szCs w:val="24"/>
        </w:rPr>
        <w:t xml:space="preserve">1.2 Top 5 Input Features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rPr>
          <w:tblHeader/>
        </w:trPr>
        <w:tc>
          <w:tcPr>
            <w:tcW w:type="dxa" w:w="6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Rank</w:t>
            </w:r>
          </w:p>
        </w:tc>
        <w:tc>
          <w:tcPr>
            <w:tcW w:type="dxa" w:w="24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Feature</w:t>
            </w:r>
          </w:p>
        </w:tc>
        <w:tc>
          <w:tcPr>
            <w:tcW w:type="dxa" w:w="636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Why It Was Selected</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1</w:t>
            </w:r>
          </w:p>
        </w:tc>
        <w:tc>
          <w:tcPr>
            <w:tcW w:type="dxa" w:w="2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Missed_Payments</w:t>
            </w:r>
          </w:p>
        </w:tc>
        <w:tc>
          <w:tcPr>
            <w:tcW w:type="dxa" w:w="63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Customers with 5+ missed payments showed 22.1% delinquency rate — the strongest single predictor found during EDA</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Credit_Utilization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Using more than 70% of available credit signals financial stress and reduced repayment capacity</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3</w:t>
            </w:r>
          </w:p>
        </w:tc>
        <w:tc>
          <w:tcPr>
            <w:tcW w:type="dxa" w:w="2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Debt_to_Income_Ratio</w:t>
            </w:r>
          </w:p>
        </w:tc>
        <w:tc>
          <w:tcPr>
            <w:tcW w:type="dxa" w:w="63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High debt relative to income directly limits a customer's ability to meet payment obligations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Employment_Status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Unemployed customers showed 19.4% delinquency rate vs 16.2% for employed — job stability directly impacts repayment</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5</w:t>
            </w:r>
          </w:p>
        </w:tc>
        <w:tc>
          <w:tcPr>
            <w:tcW w:type="dxa" w:w="2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Month_1 to Month_6 (Payment History)</w:t>
            </w:r>
          </w:p>
        </w:tc>
        <w:tc>
          <w:tcPr>
            <w:tcW w:type="dxa" w:w="63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Six months of payment behaviour reveals consistent patterns of lateness or missed payments over time</w:t>
            </w:r>
          </w:p>
        </w:tc>
      </w:tr>
    </w:tbl>
    <w:p>
      <w:pPr>
        <w:spacing w:after="60" w:before="60"/>
      </w:pPr>
      <w:r>
        <w:t xml:space="preserve"/>
      </w:r>
    </w:p>
    <w:p>
      <w:pPr>
        <w:pStyle w:val="Heading2"/>
        <w:spacing w:after="120" w:before="240"/>
      </w:pPr>
      <w:r>
        <w:rPr>
          <w:rFonts w:ascii="Arial" w:cs="Arial" w:eastAsia="Arial" w:hAnsi="Arial"/>
          <w:b/>
          <w:bCs/>
          <w:color w:val="2E74B5"/>
          <w:sz w:val="24"/>
          <w:szCs w:val="24"/>
        </w:rPr>
        <w:t xml:space="preserve">1.3 Model Workflow (Step-by-Step)</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rPr>
          <w:tblHeader/>
        </w:trPr>
        <w:tc>
          <w:tcPr>
            <w:tcW w:type="dxa" w:w="6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Step</w:t>
            </w:r>
          </w:p>
        </w:tc>
        <w:tc>
          <w:tcPr>
            <w:tcW w:type="dxa" w:w="22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Stage</w:t>
            </w:r>
          </w:p>
        </w:tc>
        <w:tc>
          <w:tcPr>
            <w:tcW w:type="dxa" w:w="656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What Happens</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Data Ingestion</w:t>
            </w:r>
          </w:p>
        </w:tc>
        <w:tc>
          <w:tcPr>
            <w:tcW w:type="dxa" w:w="65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Customer data is loaded — including demographics, credit history, payment behaviour, and employment details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Data Preprocessing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Missing values are imputed, Employment Status labels are standardised, Credit Utilization is converted to percentage format</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Feature Selection</w:t>
            </w:r>
          </w:p>
        </w:tc>
        <w:tc>
          <w:tcPr>
            <w:tcW w:type="dxa" w:w="65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Top predictive features identified during EDA are selected as model inputs: Missed_Payments, Credit_Utilization, DTI Ratio, Employment_Status, Month_1–Month_6</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Model Training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Random Forest builds 100 decision trees, each trained on a random subset of customer data and features</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5</w:t>
            </w:r>
          </w:p>
        </w:tc>
        <w:tc>
          <w:tcPr>
            <w:tcW w:type="dxa" w:w="22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Prediction</w:t>
            </w:r>
          </w:p>
        </w:tc>
        <w:tc>
          <w:tcPr>
            <w:tcW w:type="dxa" w:w="65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Each tree votes: HIGH RISK or LOW RISK. The majority vote determines the final prediction for each customer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Risk Scoring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Each customer receives a probability score (0% to 100%) indicating their likelihood of becoming delinquent</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7</w:t>
            </w:r>
          </w:p>
        </w:tc>
        <w:tc>
          <w:tcPr>
            <w:tcW w:type="dxa" w:w="22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Output</w:t>
            </w:r>
          </w:p>
        </w:tc>
        <w:tc>
          <w:tcPr>
            <w:tcW w:type="dxa" w:w="65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Collections team receives a prioritised list: High Risk (&gt;70%), Medium Risk (40–70%), Low Risk (&lt;40%)</w:t>
            </w:r>
          </w:p>
        </w:tc>
      </w:tr>
    </w:tbl>
    <w:p>
      <w:pPr>
        <w:spacing w:after="60" w:before="60"/>
      </w:pPr>
      <w:r>
        <w:t xml:space="preserve"/>
      </w:r>
    </w:p>
    <w:p>
      <w:pPr>
        <w:pStyle w:val="Heading2"/>
        <w:spacing w:after="120" w:before="240"/>
      </w:pPr>
      <w:r>
        <w:rPr>
          <w:rFonts w:ascii="Arial" w:cs="Arial" w:eastAsia="Arial" w:hAnsi="Arial"/>
          <w:b/>
          <w:bCs/>
          <w:color w:val="2E74B5"/>
          <w:sz w:val="24"/>
          <w:szCs w:val="24"/>
        </w:rPr>
        <w:t xml:space="preserve">1.4 Model Pseudocode</w:t>
      </w:r>
    </w:p>
    <w:p>
      <w:pPr>
        <w:spacing w:after="60" w:before="60"/>
      </w:pPr>
      <w:r>
        <w:t xml:space="preserve"/>
      </w:r>
    </w:p>
    <w:p>
      <w:pPr>
        <w:pBdr>
          <w:top w:val="single" w:color="CCCCCC" w:sz="1"/>
          <w:bottom w:val="single" w:color="CCCCCC" w:sz="1"/>
          <w:left w:val="single" w:color="2E74B5" w:sz="4"/>
          <w:right w:val="single" w:color="CCCCCC" w:sz="1"/>
        </w:pBdr>
        <w:shd w:fill="F2F2F2" w:val="clear"/>
        <w:spacing w:after="80" w:before="80"/>
      </w:pPr>
      <w:r>
        <w:rPr>
          <w:rFonts w:ascii="Courier New" w:cs="Courier New" w:eastAsia="Courier New" w:hAnsi="Courier New"/>
          <w:color w:val="1F4E79"/>
          <w:sz w:val="18"/>
          <w:szCs w:val="18"/>
        </w:rPr>
        <w:t xml:space="preserve">STEP 1: Load cleaned Geldium customer dataset</w:t>
      </w:r>
    </w:p>
    <w:p>
      <w:pPr>
        <w:shd w:fill="F2F2F2" w:val="clear"/>
      </w:pPr>
      <w:r>
        <w:rPr>
          <w:rFonts w:ascii="Courier New" w:cs="Courier New" w:eastAsia="Courier New" w:hAnsi="Courier New"/>
          <w:color w:val="333333"/>
          <w:sz w:val="18"/>
          <w:szCs w:val="18"/>
        </w:rPr>
        <w:t xml:space="preserve">STEP 2: Select features → [Missed_Payments, Credit_Utilization,</w:t>
      </w:r>
    </w:p>
    <w:p>
      <w:pPr>
        <w:shd w:fill="F2F2F2" w:val="clear"/>
      </w:pPr>
      <w:r>
        <w:rPr>
          <w:rFonts w:ascii="Courier New" w:cs="Courier New" w:eastAsia="Courier New" w:hAnsi="Courier New"/>
          <w:color w:val="333333"/>
          <w:sz w:val="18"/>
          <w:szCs w:val="18"/>
        </w:rPr>
        <w:t xml:space="preserve">                          Debt_to_Income_Ratio, Employment_Status,</w:t>
      </w:r>
    </w:p>
    <w:p>
      <w:pPr>
        <w:shd w:fill="F2F2F2" w:val="clear"/>
      </w:pPr>
      <w:r>
        <w:rPr>
          <w:rFonts w:ascii="Courier New" w:cs="Courier New" w:eastAsia="Courier New" w:hAnsi="Courier New"/>
          <w:color w:val="333333"/>
          <w:sz w:val="18"/>
          <w:szCs w:val="18"/>
        </w:rPr>
        <w:t xml:space="preserve">                          Month_1, Month_2, Month_3, Month_4, Month_5, Month_6]</w:t>
      </w:r>
    </w:p>
    <w:p>
      <w:pPr>
        <w:shd w:fill="F2F2F2" w:val="clear"/>
      </w:pPr>
      <w:r>
        <w:rPr>
          <w:rFonts w:ascii="Courier New" w:cs="Courier New" w:eastAsia="Courier New" w:hAnsi="Courier New"/>
          <w:color w:val="333333"/>
          <w:sz w:val="18"/>
          <w:szCs w:val="18"/>
        </w:rPr>
        <w:t xml:space="preserve">STEP 3: Split data → 80% Training | 20% Testing</w:t>
      </w:r>
    </w:p>
    <w:p>
      <w:pPr>
        <w:shd w:fill="F2F2F2" w:val="clear"/>
      </w:pPr>
      <w:r>
        <w:rPr>
          <w:rFonts w:ascii="Courier New" w:cs="Courier New" w:eastAsia="Courier New" w:hAnsi="Courier New"/>
          <w:color w:val="333333"/>
          <w:sz w:val="18"/>
          <w:szCs w:val="18"/>
        </w:rPr>
        <w:t xml:space="preserve">STEP 4: Train Random Forest (100 decision trees)</w:t>
      </w:r>
    </w:p>
    <w:p>
      <w:pPr>
        <w:shd w:fill="F2F2F2" w:val="clear"/>
      </w:pPr>
      <w:r>
        <w:rPr>
          <w:rFonts w:ascii="Courier New" w:cs="Courier New" w:eastAsia="Courier New" w:hAnsi="Courier New"/>
          <w:color w:val="333333"/>
          <w:sz w:val="18"/>
          <w:szCs w:val="18"/>
        </w:rPr>
        <w:t xml:space="preserve">STEP 5: Each tree votes → HIGH RISK or LOW RISK</w:t>
      </w:r>
    </w:p>
    <w:p>
      <w:pPr>
        <w:shd w:fill="F2F2F2" w:val="clear"/>
      </w:pPr>
      <w:r>
        <w:rPr>
          <w:rFonts w:ascii="Courier New" w:cs="Courier New" w:eastAsia="Courier New" w:hAnsi="Courier New"/>
          <w:color w:val="333333"/>
          <w:sz w:val="18"/>
          <w:szCs w:val="18"/>
        </w:rPr>
        <w:t xml:space="preserve">STEP 6: Majority vote → Final Risk Score (0% to 100%)</w:t>
      </w:r>
    </w:p>
    <w:p>
      <w:pPr>
        <w:shd w:fill="F2F2F2" w:val="clear"/>
        <w:spacing w:after="160" w:before="0"/>
      </w:pPr>
      <w:r>
        <w:rPr>
          <w:rFonts w:ascii="Courier New" w:cs="Courier New" w:eastAsia="Courier New" w:hAnsi="Courier New"/>
          <w:color w:val="333333"/>
          <w:sz w:val="18"/>
          <w:szCs w:val="18"/>
        </w:rPr>
        <w:t xml:space="preserve">STEP 7: Output → HIGH / MEDIUM / LOW risk category per customer</w:t>
      </w:r>
    </w:p>
    <w:p>
      <w:pPr>
        <w:spacing w:after="60" w:before="60"/>
      </w:pPr>
      <w:r>
        <w:t xml:space="preserve"/>
      </w:r>
    </w:p>
    <w:p>
      <w:pPr>
        <w:pStyle w:val="Heading1"/>
        <w:spacing w:after="160" w:before="360"/>
      </w:pPr>
      <w:r>
        <w:rPr>
          <w:rFonts w:ascii="Arial" w:cs="Arial" w:eastAsia="Arial" w:hAnsi="Arial"/>
          <w:b/>
          <w:bCs/>
          <w:color w:val="1F4E79"/>
          <w:sz w:val="30"/>
          <w:szCs w:val="30"/>
        </w:rPr>
        <w:t xml:space="preserve">2. Justification for Model Choice</w:t>
      </w:r>
    </w:p>
    <w:p>
      <w:pPr>
        <w:spacing w:after="80" w:before="80"/>
      </w:pPr>
      <w:r>
        <w:rPr>
          <w:rFonts w:ascii="Arial" w:cs="Arial" w:eastAsia="Arial" w:hAnsi="Arial"/>
          <w:b w:val="false"/>
          <w:bCs w:val="false"/>
          <w:color w:val="222222"/>
          <w:sz w:val="22"/>
          <w:szCs w:val="22"/>
        </w:rPr>
        <w:t xml:space="preserve">Random Forest was selected as the predictive model for Geldium's delinquency risk system because it offers the best balance between predictive accuracy and explainability — two critical and non-negotiable requirements in the financial services industry. Unlike Logistic Regression, which assumes simple linear relationships between variables and may miss complex risk patterns, Random Forest combines hundreds of decision trees to capture interactions between variables such as missed payments, credit utilization, and employment status simultaneously. Unlike Neural Networks, which are highly accurate but function as a 'black box' and cannot clearly explain individual predictions, Random Forest can clearly show which features drove each prediction — making it compliant with financial regulations that require transparent and explainable credit decisions. Its ability to handle mixed data types, imbalanced class distributions (only 16% delinquent customers), and moderate missing values makes it exceptionally well-suited for Geldium's real-world customer dataset.</w:t>
      </w:r>
    </w:p>
    <w:p>
      <w:pPr>
        <w:spacing w:after="60" w:before="60"/>
      </w:pPr>
      <w:r>
        <w:t xml:space="preserve"/>
      </w:r>
    </w:p>
    <w:p>
      <w:pPr>
        <w:pStyle w:val="Heading2"/>
        <w:spacing w:after="120" w:before="240"/>
      </w:pPr>
      <w:r>
        <w:rPr>
          <w:rFonts w:ascii="Arial" w:cs="Arial" w:eastAsia="Arial" w:hAnsi="Arial"/>
          <w:b/>
          <w:bCs/>
          <w:color w:val="2E74B5"/>
          <w:sz w:val="24"/>
          <w:szCs w:val="24"/>
        </w:rPr>
        <w:t xml:space="preserve">2.1 Model Comparison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100"/>
        <w:gridCol w:w="2100"/>
        <w:gridCol w:w="2360"/>
      </w:tblGrid>
      <w:tr>
        <w:trPr>
          <w:tblHeader/>
        </w:trPr>
        <w:tc>
          <w:tcPr>
            <w:tcW w:type="dxa" w:w="28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Factor</w:t>
            </w:r>
          </w:p>
        </w:tc>
        <w:tc>
          <w:tcPr>
            <w:tcW w:type="dxa" w:w="21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Logistic Regression</w:t>
            </w:r>
          </w:p>
        </w:tc>
        <w:tc>
          <w:tcPr>
            <w:tcW w:type="dxa" w:w="21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Random Forest ✅</w:t>
            </w:r>
          </w:p>
        </w:tc>
        <w:tc>
          <w:tcPr>
            <w:tcW w:type="dxa" w:w="236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Neural Network</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Accuracy</w:t>
            </w:r>
          </w:p>
        </w:tc>
        <w:tc>
          <w:tcPr>
            <w:tcW w:type="dxa" w:w="21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Medium</w:t>
            </w:r>
          </w:p>
        </w:tc>
        <w:tc>
          <w:tcPr>
            <w:tcW w:type="dxa" w:w="21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High</w:t>
            </w:r>
          </w:p>
        </w:tc>
        <w:tc>
          <w:tcPr>
            <w:tcW w:type="dxa" w:w="23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Highest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Explainability</w:t>
            </w:r>
          </w:p>
        </w:tc>
        <w:tc>
          <w:tcPr>
            <w:tcW w:type="dxa" w:w="2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Very High</w:t>
            </w:r>
          </w:p>
        </w:tc>
        <w:tc>
          <w:tcPr>
            <w:tcW w:type="dxa" w:w="2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High</w:t>
            </w:r>
          </w:p>
        </w:tc>
        <w:tc>
          <w:tcPr>
            <w:tcW w:type="dxa" w:w="2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Very Low</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Handles Complex Patterns</w:t>
            </w:r>
          </w:p>
        </w:tc>
        <w:tc>
          <w:tcPr>
            <w:tcW w:type="dxa" w:w="21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No</w:t>
            </w:r>
          </w:p>
        </w:tc>
        <w:tc>
          <w:tcPr>
            <w:tcW w:type="dxa" w:w="21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Yes</w:t>
            </w:r>
          </w:p>
        </w:tc>
        <w:tc>
          <w:tcPr>
            <w:tcW w:type="dxa" w:w="23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Yes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Regulatory Compliance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Good</w:t>
            </w:r>
          </w:p>
        </w:tc>
        <w:tc>
          <w:tcPr>
            <w:tcW w:type="dxa" w:w="2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Best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Poor</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Handles Imbalanced Data</w:t>
            </w:r>
          </w:p>
        </w:tc>
        <w:tc>
          <w:tcPr>
            <w:tcW w:type="dxa" w:w="21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Poor</w:t>
            </w:r>
          </w:p>
        </w:tc>
        <w:tc>
          <w:tcPr>
            <w:tcW w:type="dxa" w:w="21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Good</w:t>
            </w:r>
          </w:p>
        </w:tc>
        <w:tc>
          <w:tcPr>
            <w:tcW w:type="dxa" w:w="23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Good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Speed of Deployment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Very Fast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Fast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Slow</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Suitable for Geldium</w:t>
            </w:r>
          </w:p>
        </w:tc>
        <w:tc>
          <w:tcPr>
            <w:tcW w:type="dxa" w:w="21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Partially</w:t>
            </w:r>
          </w:p>
        </w:tc>
        <w:tc>
          <w:tcPr>
            <w:tcW w:type="dxa" w:w="21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Yes — Best Fit</w:t>
            </w:r>
          </w:p>
        </w:tc>
        <w:tc>
          <w:tcPr>
            <w:tcW w:type="dxa" w:w="23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No</w:t>
            </w:r>
          </w:p>
        </w:tc>
      </w:tr>
    </w:tbl>
    <w:p>
      <w:pPr>
        <w:spacing w:after="60" w:before="60"/>
      </w:pPr>
      <w:r>
        <w:t xml:space="preserve"/>
      </w:r>
    </w:p>
    <w:p>
      <w:pPr>
        <w:pStyle w:val="Heading2"/>
        <w:spacing w:after="120" w:before="240"/>
      </w:pPr>
      <w:r>
        <w:rPr>
          <w:rFonts w:ascii="Arial" w:cs="Arial" w:eastAsia="Arial" w:hAnsi="Arial"/>
          <w:b/>
          <w:bCs/>
          <w:color w:val="2E74B5"/>
          <w:sz w:val="24"/>
          <w:szCs w:val="24"/>
        </w:rPr>
        <w:t xml:space="preserve">2.2 Why Explainability is Critical for Geldium</w:t>
      </w:r>
    </w:p>
    <w:p>
      <w:pPr>
        <w:pStyle w:val="ListParagraph"/>
        <w:numPr>
          <w:ilvl w:val="0"/>
          <w:numId w:val="2"/>
        </w:numPr>
        <w:spacing w:after="60" w:before="60"/>
      </w:pPr>
      <w:r>
        <w:rPr>
          <w:rFonts w:ascii="Arial" w:cs="Arial" w:eastAsia="Arial" w:hAnsi="Arial"/>
          <w:b w:val="false"/>
          <w:bCs w:val="false"/>
          <w:sz w:val="22"/>
          <w:szCs w:val="22"/>
        </w:rPr>
        <w:t xml:space="preserve">Regulatory Compliance: Financial regulations require banks to explain why a customer was flagged as high risk. Random Forest satisfies this through Feature Importance scores</w:t>
      </w:r>
    </w:p>
    <w:p>
      <w:pPr>
        <w:pStyle w:val="ListParagraph"/>
        <w:numPr>
          <w:ilvl w:val="0"/>
          <w:numId w:val="2"/>
        </w:numPr>
        <w:spacing w:after="60" w:before="60"/>
      </w:pPr>
      <w:r>
        <w:rPr>
          <w:rFonts w:ascii="Arial" w:cs="Arial" w:eastAsia="Arial" w:hAnsi="Arial"/>
          <w:b w:val="false"/>
          <w:bCs w:val="false"/>
          <w:sz w:val="22"/>
          <w:szCs w:val="22"/>
        </w:rPr>
        <w:t xml:space="preserve">Customer Transparency: If a customer is denied credit or contacted for collections, they have the legal right to know why. Random Forest can provide clear reasons</w:t>
      </w:r>
    </w:p>
    <w:p>
      <w:pPr>
        <w:pStyle w:val="ListParagraph"/>
        <w:numPr>
          <w:ilvl w:val="0"/>
          <w:numId w:val="2"/>
        </w:numPr>
        <w:spacing w:after="60" w:before="60"/>
      </w:pPr>
      <w:r>
        <w:rPr>
          <w:rFonts w:ascii="Arial" w:cs="Arial" w:eastAsia="Arial" w:hAnsi="Arial"/>
          <w:b w:val="false"/>
          <w:bCs w:val="false"/>
          <w:sz w:val="22"/>
          <w:szCs w:val="22"/>
        </w:rPr>
        <w:t xml:space="preserve">Internal Auditing: Geldium's risk and compliance teams can audit model decisions, ensuring no discriminatory patterns exist</w:t>
      </w:r>
    </w:p>
    <w:p>
      <w:pPr>
        <w:pStyle w:val="ListParagraph"/>
        <w:numPr>
          <w:ilvl w:val="0"/>
          <w:numId w:val="2"/>
        </w:numPr>
        <w:spacing w:after="60" w:before="60"/>
      </w:pPr>
      <w:r>
        <w:rPr>
          <w:rFonts w:ascii="Arial" w:cs="Arial" w:eastAsia="Arial" w:hAnsi="Arial"/>
          <w:b w:val="false"/>
          <w:bCs w:val="false"/>
          <w:sz w:val="22"/>
          <w:szCs w:val="22"/>
        </w:rPr>
        <w:t xml:space="preserve">Trust Building: A model that can explain its decisions builds trust with both customers and regulators</w:t>
      </w:r>
    </w:p>
    <w:p>
      <w:pPr>
        <w:spacing w:after="60" w:before="60"/>
      </w:pPr>
      <w:r>
        <w:t xml:space="preserve"/>
      </w:r>
    </w:p>
    <w:p>
      <w:pPr>
        <w:pStyle w:val="Heading1"/>
        <w:spacing w:after="160" w:before="360"/>
      </w:pPr>
      <w:r>
        <w:rPr>
          <w:rFonts w:ascii="Arial" w:cs="Arial" w:eastAsia="Arial" w:hAnsi="Arial"/>
          <w:b/>
          <w:bCs/>
          <w:color w:val="1F4E79"/>
          <w:sz w:val="30"/>
          <w:szCs w:val="30"/>
        </w:rPr>
        <w:t xml:space="preserve">3. Evaluation Strategy</w:t>
      </w:r>
    </w:p>
    <w:p>
      <w:pPr>
        <w:spacing w:after="80" w:before="80"/>
      </w:pPr>
      <w:r>
        <w:rPr>
          <w:rFonts w:ascii="Arial" w:cs="Arial" w:eastAsia="Arial" w:hAnsi="Arial"/>
          <w:b w:val="false"/>
          <w:bCs w:val="false"/>
          <w:color w:val="222222"/>
          <w:sz w:val="22"/>
          <w:szCs w:val="22"/>
        </w:rPr>
        <w:t xml:space="preserve">A robust evaluation strategy ensures the model performs accurately, fairly, and ethically across all customer segments. The evaluation covers five key performance metrics, a fairness assessment, and an ethical review framework.</w:t>
      </w:r>
    </w:p>
    <w:p>
      <w:pPr>
        <w:spacing w:after="60" w:before="60"/>
      </w:pPr>
      <w:r>
        <w:t xml:space="preserve"/>
      </w:r>
    </w:p>
    <w:p>
      <w:pPr>
        <w:pStyle w:val="Heading2"/>
        <w:spacing w:after="120" w:before="240"/>
      </w:pPr>
      <w:r>
        <w:rPr>
          <w:rFonts w:ascii="Arial" w:cs="Arial" w:eastAsia="Arial" w:hAnsi="Arial"/>
          <w:b/>
          <w:bCs/>
          <w:color w:val="2E74B5"/>
          <w:sz w:val="24"/>
          <w:szCs w:val="24"/>
        </w:rPr>
        <w:t xml:space="preserve">3.1 Key Evaluation Metrics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1700"/>
        <w:gridCol w:w="3760"/>
      </w:tblGrid>
      <w:tr>
        <w:trPr>
          <w:tblHeader/>
        </w:trPr>
        <w:tc>
          <w:tcPr>
            <w:tcW w:type="dxa" w:w="15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Metric</w:t>
            </w:r>
          </w:p>
        </w:tc>
        <w:tc>
          <w:tcPr>
            <w:tcW w:type="dxa" w:w="24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What It Measures</w:t>
            </w:r>
          </w:p>
        </w:tc>
        <w:tc>
          <w:tcPr>
            <w:tcW w:type="dxa" w:w="17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Target for Geldium</w:t>
            </w:r>
          </w:p>
        </w:tc>
        <w:tc>
          <w:tcPr>
            <w:tcW w:type="dxa" w:w="376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Why It Matters</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Accuracy</w:t>
            </w:r>
          </w:p>
        </w:tc>
        <w:tc>
          <w:tcPr>
            <w:tcW w:type="dxa" w:w="2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Overall percentage of correct predictions</w:t>
            </w:r>
          </w:p>
        </w:tc>
        <w:tc>
          <w:tcPr>
            <w:tcW w:type="dxa" w:w="17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&gt; 80%</w:t>
            </w:r>
          </w:p>
        </w:tc>
        <w:tc>
          <w:tcPr>
            <w:tcW w:type="dxa" w:w="37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Basic measure of model correctness across all customers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Precision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When model says HIGH RISK — how often is it correct?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&gt; 75%</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Low precision = falsely flagging safe customers = customer complaints</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Recall</w:t>
            </w:r>
          </w:p>
        </w:tc>
        <w:tc>
          <w:tcPr>
            <w:tcW w:type="dxa" w:w="2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Out of all actual delinquent customers — how many did model catch?</w:t>
            </w:r>
          </w:p>
        </w:tc>
        <w:tc>
          <w:tcPr>
            <w:tcW w:type="dxa" w:w="17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&gt; 70%</w:t>
            </w:r>
          </w:p>
        </w:tc>
        <w:tc>
          <w:tcPr>
            <w:tcW w:type="dxa" w:w="37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Low recall = missing real defaulters = bank loses money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F1 Score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Balanced combination of Precision and Recall</w:t>
            </w:r>
          </w:p>
        </w:tc>
        <w:tc>
          <w:tcPr>
            <w:tcW w:type="dxa" w:w="1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&gt; 0.75</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Most important metric for imbalanced data like ours (only 16% delinquent)</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AUC-ROC</w:t>
            </w:r>
          </w:p>
        </w:tc>
        <w:tc>
          <w:tcPr>
            <w:tcW w:type="dxa" w:w="2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Overall ability to separate HIGH RISK from LOW RISK customers</w:t>
            </w:r>
          </w:p>
        </w:tc>
        <w:tc>
          <w:tcPr>
            <w:tcW w:type="dxa" w:w="17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&gt; 0.80</w:t>
            </w:r>
          </w:p>
        </w:tc>
        <w:tc>
          <w:tcPr>
            <w:tcW w:type="dxa" w:w="37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Measures model's overall discriminatory power between risk levels</w:t>
            </w:r>
          </w:p>
        </w:tc>
      </w:tr>
    </w:tbl>
    <w:p>
      <w:pPr>
        <w:spacing w:after="60" w:before="60"/>
      </w:pPr>
      <w:r>
        <w:t xml:space="preserve"/>
      </w:r>
    </w:p>
    <w:p>
      <w:pPr>
        <w:pStyle w:val="Heading2"/>
        <w:spacing w:after="120" w:before="240"/>
      </w:pPr>
      <w:r>
        <w:rPr>
          <w:rFonts w:ascii="Arial" w:cs="Arial" w:eastAsia="Arial" w:hAnsi="Arial"/>
          <w:b/>
          <w:bCs/>
          <w:color w:val="2E74B5"/>
          <w:sz w:val="24"/>
          <w:szCs w:val="24"/>
        </w:rPr>
        <w:t xml:space="preserve">3.2 How to Interpret the Metrics</w:t>
      </w:r>
    </w:p>
    <w:p>
      <w:pPr>
        <w:pStyle w:val="ListParagraph"/>
        <w:numPr>
          <w:ilvl w:val="0"/>
          <w:numId w:val="2"/>
        </w:numPr>
        <w:spacing w:after="60" w:before="60"/>
      </w:pPr>
      <w:r>
        <w:rPr>
          <w:rFonts w:ascii="Arial" w:cs="Arial" w:eastAsia="Arial" w:hAnsi="Arial"/>
          <w:b w:val="false"/>
          <w:bCs w:val="false"/>
          <w:sz w:val="22"/>
          <w:szCs w:val="22"/>
        </w:rPr>
        <w:t xml:space="preserve">If Accuracy is high but F1 Score is low: The model is likely predicting everyone as 'Safe' — not useful for catching delinquent customers</w:t>
      </w:r>
    </w:p>
    <w:p>
      <w:pPr>
        <w:pStyle w:val="ListParagraph"/>
        <w:numPr>
          <w:ilvl w:val="0"/>
          <w:numId w:val="2"/>
        </w:numPr>
        <w:spacing w:after="60" w:before="60"/>
      </w:pPr>
      <w:r>
        <w:rPr>
          <w:rFonts w:ascii="Arial" w:cs="Arial" w:eastAsia="Arial" w:hAnsi="Arial"/>
          <w:b w:val="false"/>
          <w:bCs w:val="false"/>
          <w:sz w:val="22"/>
          <w:szCs w:val="22"/>
        </w:rPr>
        <w:t xml:space="preserve">If Precision is low: Too many innocent customers are being flagged — adjust the risk threshold upward</w:t>
      </w:r>
    </w:p>
    <w:p>
      <w:pPr>
        <w:pStyle w:val="ListParagraph"/>
        <w:numPr>
          <w:ilvl w:val="0"/>
          <w:numId w:val="2"/>
        </w:numPr>
        <w:spacing w:after="60" w:before="60"/>
      </w:pPr>
      <w:r>
        <w:rPr>
          <w:rFonts w:ascii="Arial" w:cs="Arial" w:eastAsia="Arial" w:hAnsi="Arial"/>
          <w:b w:val="false"/>
          <w:bCs w:val="false"/>
          <w:sz w:val="22"/>
          <w:szCs w:val="22"/>
        </w:rPr>
        <w:t xml:space="preserve">If Recall is low: Too many real defaulters are being missed — adjust the risk threshold downward</w:t>
      </w:r>
    </w:p>
    <w:p>
      <w:pPr>
        <w:pStyle w:val="ListParagraph"/>
        <w:numPr>
          <w:ilvl w:val="0"/>
          <w:numId w:val="2"/>
        </w:numPr>
        <w:spacing w:after="60" w:before="60"/>
      </w:pPr>
      <w:r>
        <w:rPr>
          <w:rFonts w:ascii="Arial" w:cs="Arial" w:eastAsia="Arial" w:hAnsi="Arial"/>
          <w:b w:val="false"/>
          <w:bCs w:val="false"/>
          <w:sz w:val="22"/>
          <w:szCs w:val="22"/>
        </w:rPr>
        <w:t xml:space="preserve">If AUC-ROC is below 0.70: The model cannot reliably separate risky from safe customers — needs retraining with better features</w:t>
      </w:r>
    </w:p>
    <w:p>
      <w:pPr>
        <w:spacing w:after="60" w:before="60"/>
      </w:pPr>
      <w:r>
        <w:t xml:space="preserve"/>
      </w:r>
    </w:p>
    <w:p>
      <w:pPr>
        <w:pStyle w:val="Heading2"/>
        <w:spacing w:after="120" w:before="240"/>
      </w:pPr>
      <w:r>
        <w:rPr>
          <w:rFonts w:ascii="Arial" w:cs="Arial" w:eastAsia="Arial" w:hAnsi="Arial"/>
          <w:b/>
          <w:bCs/>
          <w:color w:val="2E74B5"/>
          <w:sz w:val="24"/>
          <w:szCs w:val="24"/>
        </w:rPr>
        <w:t xml:space="preserve">3.3 Data Split Strategy</w:t>
      </w:r>
    </w:p>
    <w:p>
      <w:pPr>
        <w:spacing w:after="80" w:before="80"/>
      </w:pPr>
      <w:r>
        <w:rPr>
          <w:rFonts w:ascii="Arial" w:cs="Arial" w:eastAsia="Arial" w:hAnsi="Arial"/>
          <w:b w:val="false"/>
          <w:bCs w:val="false"/>
          <w:color w:val="222222"/>
          <w:sz w:val="22"/>
          <w:szCs w:val="22"/>
        </w:rPr>
        <w:t xml:space="preserve">The dataset will be divided as follows before model training and evaluation: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500"/>
        <w:gridCol w:w="306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Split</w:t>
            </w:r>
          </w:p>
        </w:tc>
        <w:tc>
          <w:tcPr>
            <w:tcW w:type="dxa" w:w="18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Percentage</w:t>
            </w:r>
          </w:p>
        </w:tc>
        <w:tc>
          <w:tcPr>
            <w:tcW w:type="dxa" w:w="25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Size (from 500 customers)</w:t>
            </w:r>
          </w:p>
        </w:tc>
        <w:tc>
          <w:tcPr>
            <w:tcW w:type="dxa" w:w="306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Training Set</w:t>
            </w:r>
          </w:p>
        </w:tc>
        <w:tc>
          <w:tcPr>
            <w:tcW w:type="dxa" w:w="1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80%</w:t>
            </w:r>
          </w:p>
        </w:tc>
        <w:tc>
          <w:tcPr>
            <w:tcW w:type="dxa" w:w="2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400 customers</w:t>
            </w:r>
          </w:p>
        </w:tc>
        <w:tc>
          <w:tcPr>
            <w:tcW w:type="dxa" w:w="30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Model learns patterns from this data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Testing Set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20%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100 customers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Model is evaluated on data it has never seen before</w:t>
            </w:r>
          </w:p>
        </w:tc>
      </w:tr>
    </w:tbl>
    <w:p>
      <w:pPr>
        <w:spacing w:after="60" w:before="60"/>
      </w:pPr>
      <w:r>
        <w:t xml:space="preserve"/>
      </w:r>
    </w:p>
    <w:p>
      <w:pPr>
        <w:spacing w:after="80" w:before="80"/>
      </w:pPr>
      <w:r>
        <w:rPr>
          <w:rFonts w:ascii="Arial" w:cs="Arial" w:eastAsia="Arial" w:hAnsi="Arial"/>
          <w:b w:val="false"/>
          <w:bCs w:val="false"/>
          <w:color w:val="222222"/>
          <w:sz w:val="22"/>
          <w:szCs w:val="22"/>
        </w:rPr>
        <w:t xml:space="preserve">This ensures the model is not simply memorising the training data but can genuinely predict risk for new, unseen customers.</w:t>
      </w:r>
    </w:p>
    <w:p>
      <w:pPr>
        <w:spacing w:after="60" w:before="60"/>
      </w:pPr>
      <w:r>
        <w:t xml:space="preserve"/>
      </w:r>
    </w:p>
    <w:p>
      <w:pPr>
        <w:pStyle w:val="Heading2"/>
        <w:spacing w:after="120" w:before="240"/>
      </w:pPr>
      <w:r>
        <w:rPr>
          <w:rFonts w:ascii="Arial" w:cs="Arial" w:eastAsia="Arial" w:hAnsi="Arial"/>
          <w:b/>
          <w:bCs/>
          <w:color w:val="2E74B5"/>
          <w:sz w:val="24"/>
          <w:szCs w:val="24"/>
        </w:rPr>
        <w:t xml:space="preserve">3.4 Fairness &amp; Bias Detection</w:t>
      </w:r>
    </w:p>
    <w:p>
      <w:pPr>
        <w:spacing w:after="80" w:before="80"/>
      </w:pPr>
      <w:r>
        <w:rPr>
          <w:rFonts w:ascii="Arial" w:cs="Arial" w:eastAsia="Arial" w:hAnsi="Arial"/>
          <w:b w:val="false"/>
          <w:bCs w:val="false"/>
          <w:color w:val="222222"/>
          <w:sz w:val="22"/>
          <w:szCs w:val="22"/>
        </w:rPr>
        <w:t xml:space="preserve">Since this model makes decisions that directly impact customers' financial lives, it is essential to ensure no customer group is unfairly targeted based on protected characteristics.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Fairness Check</w:t>
            </w:r>
          </w:p>
        </w:tc>
        <w:tc>
          <w:tcPr>
            <w:tcW w:type="dxa" w:w="32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What to Test</w:t>
            </w:r>
          </w:p>
        </w:tc>
        <w:tc>
          <w:tcPr>
            <w:tcW w:type="dxa" w:w="396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Action if Bias Found</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Age Group Fairness</w:t>
            </w:r>
          </w:p>
        </w:tc>
        <w:tc>
          <w:tcPr>
            <w:tcW w:type="dxa" w:w="32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Does the model disproportionately flag 46–60 year olds regardless of payment behaviour?</w:t>
            </w:r>
          </w:p>
        </w:tc>
        <w:tc>
          <w:tcPr>
            <w:tcW w:type="dxa" w:w="39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Remove Age as a direct feature; use only behavioural variables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Employment Status Fairness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Are unemployed customers flagged purely due to status, not actual payment history?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Ensure Employment Status is weighted alongside payment behaviour, not alone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Location Fairness</w:t>
            </w:r>
          </w:p>
        </w:tc>
        <w:tc>
          <w:tcPr>
            <w:tcW w:type="dxa" w:w="32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Are customers from specific cities/regions being treated differently?</w:t>
            </w:r>
          </w:p>
        </w:tc>
        <w:tc>
          <w:tcPr>
            <w:tcW w:type="dxa" w:w="39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Remove Location as a model feature if bias is detected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Income Fairness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Are lower-income customers being disproportionately flagged?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Ensure income is combined with DTI ratio, not used in isolation</w:t>
            </w:r>
          </w:p>
        </w:tc>
      </w:tr>
    </w:tbl>
    <w:p>
      <w:pPr>
        <w:spacing w:after="60" w:before="60"/>
      </w:pPr>
      <w:r>
        <w:t xml:space="preserve"/>
      </w:r>
    </w:p>
    <w:p>
      <w:pPr>
        <w:pStyle w:val="Heading2"/>
        <w:spacing w:after="120" w:before="240"/>
      </w:pPr>
      <w:r>
        <w:rPr>
          <w:rFonts w:ascii="Arial" w:cs="Arial" w:eastAsia="Arial" w:hAnsi="Arial"/>
          <w:b/>
          <w:bCs/>
          <w:color w:val="2E74B5"/>
          <w:sz w:val="24"/>
          <w:szCs w:val="24"/>
        </w:rPr>
        <w:t xml:space="preserve">3.5 Ethical Considerations</w:t>
      </w:r>
    </w:p>
    <w:p>
      <w:pPr>
        <w:pStyle w:val="ListParagraph"/>
        <w:numPr>
          <w:ilvl w:val="0"/>
          <w:numId w:val="2"/>
        </w:numPr>
        <w:spacing w:after="60" w:before="60"/>
      </w:pPr>
      <w:r>
        <w:rPr>
          <w:rFonts w:ascii="Arial" w:cs="Arial" w:eastAsia="Arial" w:hAnsi="Arial"/>
          <w:b w:val="false"/>
          <w:bCs w:val="false"/>
          <w:sz w:val="22"/>
          <w:szCs w:val="22"/>
        </w:rPr>
        <w:t xml:space="preserve">Transparency: Customers flagged as high risk must be given a clear, human-readable explanation of why they were flagged</w:t>
      </w:r>
    </w:p>
    <w:p>
      <w:pPr>
        <w:pStyle w:val="ListParagraph"/>
        <w:numPr>
          <w:ilvl w:val="0"/>
          <w:numId w:val="2"/>
        </w:numPr>
        <w:spacing w:after="60" w:before="60"/>
      </w:pPr>
      <w:r>
        <w:rPr>
          <w:rFonts w:ascii="Arial" w:cs="Arial" w:eastAsia="Arial" w:hAnsi="Arial"/>
          <w:b w:val="false"/>
          <w:bCs w:val="false"/>
          <w:sz w:val="22"/>
          <w:szCs w:val="22"/>
        </w:rPr>
        <w:t xml:space="preserve">Right to Appeal: Customers should have the right to challenge the model's decision through a human review process</w:t>
      </w:r>
    </w:p>
    <w:p>
      <w:pPr>
        <w:pStyle w:val="ListParagraph"/>
        <w:numPr>
          <w:ilvl w:val="0"/>
          <w:numId w:val="2"/>
        </w:numPr>
        <w:spacing w:after="60" w:before="60"/>
      </w:pPr>
      <w:r>
        <w:rPr>
          <w:rFonts w:ascii="Arial" w:cs="Arial" w:eastAsia="Arial" w:hAnsi="Arial"/>
          <w:b w:val="false"/>
          <w:bCs w:val="false"/>
          <w:sz w:val="22"/>
          <w:szCs w:val="22"/>
        </w:rPr>
        <w:t xml:space="preserve">No Proxy Discrimination: The model must not use variables like Location or Age as proxies for race, gender, or other protected characteristics</w:t>
      </w:r>
    </w:p>
    <w:p>
      <w:pPr>
        <w:pStyle w:val="ListParagraph"/>
        <w:numPr>
          <w:ilvl w:val="0"/>
          <w:numId w:val="2"/>
        </w:numPr>
        <w:spacing w:after="60" w:before="60"/>
      </w:pPr>
      <w:r>
        <w:rPr>
          <w:rFonts w:ascii="Arial" w:cs="Arial" w:eastAsia="Arial" w:hAnsi="Arial"/>
          <w:b w:val="false"/>
          <w:bCs w:val="false"/>
          <w:sz w:val="22"/>
          <w:szCs w:val="22"/>
        </w:rPr>
        <w:t xml:space="preserve">Regular Auditing: The model should be reviewed every 3–6 months to check for drift in accuracy or emerging bias</w:t>
      </w:r>
    </w:p>
    <w:p>
      <w:pPr>
        <w:pStyle w:val="ListParagraph"/>
        <w:numPr>
          <w:ilvl w:val="0"/>
          <w:numId w:val="2"/>
        </w:numPr>
        <w:spacing w:after="60" w:before="60"/>
      </w:pPr>
      <w:r>
        <w:rPr>
          <w:rFonts w:ascii="Arial" w:cs="Arial" w:eastAsia="Arial" w:hAnsi="Arial"/>
          <w:b w:val="false"/>
          <w:bCs w:val="false"/>
          <w:sz w:val="22"/>
          <w:szCs w:val="22"/>
        </w:rPr>
        <w:t xml:space="preserve">Human Oversight: All HIGH RISK decisions should be reviewed by a human collections officer before action is taken</w:t>
      </w:r>
    </w:p>
    <w:p>
      <w:pPr>
        <w:spacing w:after="60" w:before="60"/>
      </w:pPr>
      <w:r>
        <w:t xml:space="preserve"/>
      </w:r>
    </w:p>
    <w:p>
      <w:pPr>
        <w:pStyle w:val="Heading2"/>
        <w:spacing w:after="120" w:before="240"/>
      </w:pPr>
      <w:r>
        <w:rPr>
          <w:rFonts w:ascii="Arial" w:cs="Arial" w:eastAsia="Arial" w:hAnsi="Arial"/>
          <w:b/>
          <w:bCs/>
          <w:color w:val="2E74B5"/>
          <w:sz w:val="24"/>
          <w:szCs w:val="24"/>
        </w:rPr>
        <w:t xml:space="preserve">3.6 Ongoing Model Monitoring</w:t>
      </w:r>
    </w:p>
    <w:p>
      <w:pPr>
        <w:pStyle w:val="ListParagraph"/>
        <w:numPr>
          <w:ilvl w:val="0"/>
          <w:numId w:val="2"/>
        </w:numPr>
        <w:spacing w:after="60" w:before="60"/>
      </w:pPr>
      <w:r>
        <w:rPr>
          <w:rFonts w:ascii="Arial" w:cs="Arial" w:eastAsia="Arial" w:hAnsi="Arial"/>
          <w:b w:val="false"/>
          <w:bCs w:val="false"/>
          <w:sz w:val="22"/>
          <w:szCs w:val="22"/>
        </w:rPr>
        <w:t xml:space="preserve">Monthly Performance Check: Re-evaluate all 5 metrics monthly using new customer data</w:t>
      </w:r>
    </w:p>
    <w:p>
      <w:pPr>
        <w:pStyle w:val="ListParagraph"/>
        <w:numPr>
          <w:ilvl w:val="0"/>
          <w:numId w:val="2"/>
        </w:numPr>
        <w:spacing w:after="60" w:before="60"/>
      </w:pPr>
      <w:r>
        <w:rPr>
          <w:rFonts w:ascii="Arial" w:cs="Arial" w:eastAsia="Arial" w:hAnsi="Arial"/>
          <w:b w:val="false"/>
          <w:bCs w:val="false"/>
          <w:sz w:val="22"/>
          <w:szCs w:val="22"/>
        </w:rPr>
        <w:t xml:space="preserve">Retraining Trigger: If F1 Score drops below 0.70 or AUC drops below 0.75, the model must be retrained</w:t>
      </w:r>
    </w:p>
    <w:p>
      <w:pPr>
        <w:pStyle w:val="ListParagraph"/>
        <w:numPr>
          <w:ilvl w:val="0"/>
          <w:numId w:val="2"/>
        </w:numPr>
        <w:spacing w:after="60" w:before="60"/>
      </w:pPr>
      <w:r>
        <w:rPr>
          <w:rFonts w:ascii="Arial" w:cs="Arial" w:eastAsia="Arial" w:hAnsi="Arial"/>
          <w:b w:val="false"/>
          <w:bCs w:val="false"/>
          <w:sz w:val="22"/>
          <w:szCs w:val="22"/>
        </w:rPr>
        <w:t xml:space="preserve">Bias Monitoring: Quarterly fairness checks across all customer segments</w:t>
      </w:r>
    </w:p>
    <w:p>
      <w:pPr>
        <w:pStyle w:val="ListParagraph"/>
        <w:numPr>
          <w:ilvl w:val="0"/>
          <w:numId w:val="2"/>
        </w:numPr>
        <w:spacing w:after="60" w:before="60"/>
      </w:pPr>
      <w:r>
        <w:rPr>
          <w:rFonts w:ascii="Arial" w:cs="Arial" w:eastAsia="Arial" w:hAnsi="Arial"/>
          <w:b w:val="false"/>
          <w:bCs w:val="false"/>
          <w:sz w:val="22"/>
          <w:szCs w:val="22"/>
        </w:rPr>
        <w:t xml:space="preserve">Feedback Loop: Outcomes of collections interventions feed back into model training to improve future predictions</w:t>
      </w:r>
    </w:p>
    <w:p>
      <w:pPr>
        <w:spacing w:after="60" w:before="60"/>
      </w:pPr>
      <w:r>
        <w:t xml:space="preserve"/>
      </w:r>
    </w:p>
    <w:p>
      <w:pPr>
        <w:pBdr>
          <w:top w:val="single" w:color="1F4E79" w:sz="6" w:space="1"/>
        </w:pBdr>
        <w:spacing w:after="120" w:before="400"/>
        <w:jc w:val="center"/>
      </w:pPr>
      <w:r>
        <w:rPr>
          <w:rFonts w:ascii="Arial" w:cs="Arial" w:eastAsia="Arial" w:hAnsi="Arial"/>
          <w:color w:val="888888"/>
          <w:sz w:val="18"/>
          <w:szCs w:val="18"/>
        </w:rPr>
        <w:t xml:space="preserve">Prepared by Tata iQ | Confidential | Geldium Delinquency Risk Project | May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2026-05-21T06:13:40.132Z</dcterms:created>
  <dcterms:modified xsi:type="dcterms:W3CDTF">2026-05-21T06:13:40.150Z</dcterms:modified>
</cp:coreProperties>
</file>

<file path=docProps/custom.xml><?xml version="1.0" encoding="utf-8"?>
<Properties xmlns="http://schemas.openxmlformats.org/officeDocument/2006/custom-properties" xmlns:vt="http://schemas.openxmlformats.org/officeDocument/2006/docPropsVTypes"/>
</file>