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AI-Powered Delinquency Risk Report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4B5"/>
          <w:sz w:val="20"/>
          <w:szCs w:val="20"/>
        </w:rPr>
        <w:t xml:space="preserve">Prepared for: Head of Collections, Geldium Financial Services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Prepared by: Tata iQ Analytics Team  |  Date: May 2026</w:t>
      </w:r>
    </w:p>
    <w:p>
      <w:pPr>
        <w:pBdr>
          <w:bottom w:val="single" w:color="1F4E79" w:sz="6" w:space="1"/>
        </w:pBdr>
        <w:spacing w:after="280" w:before="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Summary of Predictive Insights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An exploratory data analysis was conducted on 500 Geldium customer records across 19 variables. The overall delinquency rate stands at 16% — meaning 80 customers are currently at risk of missing payments. The analysis identified clear patterns that distinguish high-risk customers from low-risk ones, enabling the Collections team to prioritise outreach more effectively.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1.1 Top 3 Risk Factors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600"/>
        <w:gridCol w:w="4560"/>
      </w:tblGrid>
      <w:tr>
        <w:trPr>
          <w:tblHeader/>
        </w:trP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Factor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Delinquency Rate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Implication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Missed Payments (5+ in last 12 months)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22.1%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Strongest single predictor — past behaviour directly signals future risk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 Group 46–60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21.7%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Peak life expenses (mortgage, medical) strain repayment capacity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Unemployed Customers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19.4%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steady income makes consistent payment difficult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1.2 High-Risk Customer Segments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Customers with 5 or more missed payments in the past 12 months — these customers showed the highest delinquency rate of 22.1% and require immediate outreach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Business credit card holders — unexpectedly showed a 21.3% delinquency rate, possibly due to business cash flow difficulties affecting personal payments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Unemployed customers aged 46–60 — combining two high-risk factors, this segment represents the most financially vulnerable group in the dataset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1.3 Key Variables Influencing Delinquency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following variables were identified as the strongest predictors of delinquency based on data analysis: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Influence on Delinquency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Missed_Payments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powerful predictor — directly reflects a customer's repayment reliability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Credit_Utilization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Customers using &gt;70% of credit limit show elevated financial stress signals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Debt_to_Income_Ratio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Higher ratio means less disposable income available for repayments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Employment_Status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Unemployed and retired customers show distinctly different risk profiles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Month_1 to Month_6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Six-month payment history reveals consistent behavioural patterns over time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Recommendation Framework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Based on the predictive insights, the following SMART recommendation is proposed for Geldium's Collections team to reduce delinquency rates and improve customer outcomes.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2.1 SMART Recommendation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SMART Element</w:t>
            </w:r>
          </w:p>
        </w:tc>
        <w:tc>
          <w:tcPr>
            <w:tcW w:type="dxa" w:w="7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Specific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an AI-powered early intervention program targeting customers with 3+ missed payments and credit utilization above 70%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Measurable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Reduce delinquency rate among high-risk customers by 15% within 6 months, tracked monthly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Achievable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existing Collections team capacity supported by AI-generated risk scores to prioritise outreach calls and payment plans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Relevant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Directly addresses Geldium's core challenge of rising delinquency rates and improves recovery efficiency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Time-bound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Launch within 30 days using the cleaned dataset and risk model; review outcomes at 3-month and 6-month checkpoints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A500" w:sz="2"/>
              <w:left w:val="single" w:color="F0A500" w:sz="8"/>
              <w:bottom w:val="single" w:color="F0A500" w:sz="2"/>
              <w:right w:val="single" w:color="F0A500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800"/>
                <w:sz w:val="20"/>
                <w:szCs w:val="20"/>
              </w:rPr>
              <w:t xml:space="preserve">Stakeholder Summary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By identifying at-risk customers before they miss a payment, Geldium's Collections team can intervene early with targeted support — such as payment plan offers or financial hardship assistance — reducing defaults while maintaining positive customer relationships.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2.2 Supporting Recommendations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Segment customers into three risk tiers — High (&gt;70% risk score), Medium (40–70%), Low (&lt;40%) — and assign different intervention strategies to each tier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Offer proactive payment plan restructuring to high-risk customers before they reach the 30-day missed payment threshold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Monitor Business card holders separately as a distinct high-risk segment requiring tailored outreach strategies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Ethical and Responsible AI Considerations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use of AI in financial decision-making carries significant ethical responsibilities. The following section outlines key fairness risks and how Geldium can ensure its AI-powered collections system operates transparently and responsibly.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3.1 Fairness Risks and Mitigation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Fairness Risk</w:t>
            </w:r>
          </w:p>
        </w:tc>
        <w:tc>
          <w:tcPr>
            <w:tcW w:type="dxa" w:w="3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 Strategy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 Bias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model may disproportionately flag customers aged 46–60 as high risk based on age alone, rather than actual payment behaviour — leading to unfair treatment of this group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Age as a direct model input. Focus predictions on behavioural variables such as Missed_Payments and Credit_Utilization. Conduct quarterly audits to check if age groups are being treated equitably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Employment Status Bias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Unemployed customers may be flagged as high risk purely due to employment status, even if their payment history is strong — resulting in unnecessary interventions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Ensure Employment_Status is weighted alongside payment behaviour, not used in isolation. Any customer flagged solely based on employment status must be reviewed by a human collections officer before action is taken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3.2 Explaining AI Predictions to Non-Technical Stakeholders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To ensure the Collections team can confidently act on AI outputs, predictions will be communicated in plain language: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Instead of: 'Model confidence score: 0.847' → Say: 'This customer has a HIGH chance of missing their next payment based on 4 missed payments in the last 6 months and 85% credit card usage'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Every HIGH RISK flag will include a simple reason summary — for example: 'Flagged due to: 5 missed payments, unemployed status, credit utilization above 80%'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human collections officer must review and approve all HIGH RISK cases before any customer contact is made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3.3 Responsible AI Principles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Transparency: All model decisions are explainable and documented — no black-box outcomes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Fairness: Regular bias audits conducted every quarter across age, employment, and location segments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Human Oversight: AI scores inform decisions but humans make the final call on customer interventions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Customer Rights: Any customer can request a review of their risk classification through a formal appeals process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 Privacy: Customer data used for modelling is handled in accordance with financial data protection regulations</w:t>
      </w:r>
    </w:p>
    <w:p>
      <w:pPr>
        <w:spacing w:after="40" w:before="40"/>
      </w:pPr>
      <w:r>
        <w:t xml:space="preserve"/>
      </w:r>
    </w:p>
    <w:p>
      <w:pPr>
        <w:pBdr>
          <w:top w:val="single" w:color="1F4E79" w:sz="4" w:space="1"/>
        </w:pBdr>
        <w:spacing w:after="80" w:before="3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Confidential | Prepared by Tata iQ for Geldium Financial Services | May 2026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2026-05-21T06:41:02.958Z</dcterms:created>
  <dcterms:modified xsi:type="dcterms:W3CDTF">2026-05-21T06:41:02.968Z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