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38183" w14:textId="77777777" w:rsidR="000D0CC2" w:rsidRDefault="00000000">
      <w:pPr>
        <w:spacing w:after="0"/>
        <w:ind w:right="73"/>
        <w:jc w:val="center"/>
      </w:pPr>
      <w:r>
        <w:rPr>
          <w:rFonts w:ascii="Arial" w:eastAsia="Arial" w:hAnsi="Arial" w:cs="Arial"/>
          <w:b/>
          <w:sz w:val="34"/>
        </w:rPr>
        <w:t xml:space="preserve"> SIMATS ENGINEERING </w:t>
      </w:r>
    </w:p>
    <w:p w14:paraId="677C37C2" w14:textId="77777777" w:rsidR="000D0CC2" w:rsidRDefault="00000000">
      <w:pPr>
        <w:spacing w:after="82"/>
        <w:ind w:right="69"/>
        <w:jc w:val="center"/>
      </w:pPr>
      <w:r>
        <w:rPr>
          <w:rFonts w:ascii="Arial" w:eastAsia="Arial" w:hAnsi="Arial" w:cs="Arial"/>
          <w:b/>
          <w:sz w:val="28"/>
        </w:rPr>
        <w:t xml:space="preserve">ASSESSMENT TOOL 3  </w:t>
      </w:r>
    </w:p>
    <w:p w14:paraId="2373FE05" w14:textId="77777777" w:rsidR="000D0CC2" w:rsidRDefault="00000000">
      <w:pPr>
        <w:spacing w:after="0"/>
        <w:ind w:left="28"/>
        <w:jc w:val="center"/>
      </w:pPr>
      <w:r>
        <w:rPr>
          <w:rFonts w:ascii="Arial" w:eastAsia="Arial" w:hAnsi="Arial" w:cs="Arial"/>
          <w:b/>
          <w:sz w:val="34"/>
        </w:rPr>
        <w:t xml:space="preserve"> </w:t>
      </w:r>
    </w:p>
    <w:p w14:paraId="33E4D8EA" w14:textId="0F3244C4" w:rsidR="000D0CC2" w:rsidRDefault="00000000">
      <w:pPr>
        <w:pStyle w:val="Heading1"/>
        <w:tabs>
          <w:tab w:val="right" w:pos="9546"/>
        </w:tabs>
        <w:spacing w:after="52"/>
        <w:ind w:left="-15" w:firstLine="0"/>
      </w:pPr>
      <w:r>
        <w:t xml:space="preserve">COURSE CODE: </w:t>
      </w:r>
      <w:r>
        <w:tab/>
        <w:t>CSA51</w:t>
      </w:r>
      <w:r w:rsidR="00C374CC">
        <w:t>17</w:t>
      </w:r>
      <w:r>
        <w:t xml:space="preserve">       COURSE NAME: Cryptography and Network Security </w:t>
      </w:r>
    </w:p>
    <w:p w14:paraId="6D624D57" w14:textId="77777777" w:rsidR="000D0CC2" w:rsidRDefault="00000000">
      <w:pPr>
        <w:spacing w:after="47"/>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p>
    <w:p w14:paraId="6F3DF59E" w14:textId="77777777" w:rsidR="000D0CC2" w:rsidRDefault="00000000">
      <w:pPr>
        <w:spacing w:after="26"/>
      </w:pPr>
      <w:r>
        <w:rPr>
          <w:rFonts w:ascii="Arial" w:eastAsia="Arial" w:hAnsi="Arial" w:cs="Arial"/>
          <w:b/>
          <w:sz w:val="24"/>
        </w:rPr>
        <w:t xml:space="preserve"> </w:t>
      </w:r>
      <w:r>
        <w:rPr>
          <w:rFonts w:ascii="Arial" w:eastAsia="Arial" w:hAnsi="Arial" w:cs="Arial"/>
          <w:b/>
          <w:sz w:val="24"/>
        </w:rPr>
        <w:tab/>
        <w:t xml:space="preserve"> </w:t>
      </w:r>
    </w:p>
    <w:p w14:paraId="3704A7B5" w14:textId="77777777" w:rsidR="000D0CC2" w:rsidRDefault="00000000">
      <w:pPr>
        <w:spacing w:after="48"/>
      </w:pPr>
      <w:r>
        <w:rPr>
          <w:rFonts w:ascii="Arial" w:eastAsia="Arial" w:hAnsi="Arial" w:cs="Arial"/>
          <w:b/>
          <w:sz w:val="24"/>
        </w:rPr>
        <w:t xml:space="preserve"> </w:t>
      </w:r>
    </w:p>
    <w:p w14:paraId="48A2A797" w14:textId="77777777" w:rsidR="000D0CC2" w:rsidRDefault="00000000">
      <w:pPr>
        <w:spacing w:after="0"/>
        <w:jc w:val="right"/>
      </w:pPr>
      <w:r>
        <w:rPr>
          <w:noProof/>
        </w:rPr>
        <mc:AlternateContent>
          <mc:Choice Requires="wpg">
            <w:drawing>
              <wp:inline distT="0" distB="0" distL="0" distR="0" wp14:anchorId="0CEC9863" wp14:editId="6B9ED36C">
                <wp:extent cx="6019546" cy="19050"/>
                <wp:effectExtent l="0" t="0" r="0" b="0"/>
                <wp:docPr id="1435" name="Group 1435"/>
                <wp:cNvGraphicFramePr/>
                <a:graphic xmlns:a="http://schemas.openxmlformats.org/drawingml/2006/main">
                  <a:graphicData uri="http://schemas.microsoft.com/office/word/2010/wordprocessingGroup">
                    <wpg:wgp>
                      <wpg:cNvGrpSpPr/>
                      <wpg:grpSpPr>
                        <a:xfrm>
                          <a:off x="0" y="0"/>
                          <a:ext cx="6019546" cy="19050"/>
                          <a:chOff x="0" y="0"/>
                          <a:chExt cx="6019546" cy="19050"/>
                        </a:xfrm>
                      </wpg:grpSpPr>
                      <wps:wsp>
                        <wps:cNvPr id="1897" name="Shape 1897"/>
                        <wps:cNvSpPr/>
                        <wps:spPr>
                          <a:xfrm>
                            <a:off x="0" y="0"/>
                            <a:ext cx="6016625" cy="18415"/>
                          </a:xfrm>
                          <a:custGeom>
                            <a:avLst/>
                            <a:gdLst/>
                            <a:ahLst/>
                            <a:cxnLst/>
                            <a:rect l="0" t="0" r="0" b="0"/>
                            <a:pathLst>
                              <a:path w="6016625" h="18415">
                                <a:moveTo>
                                  <a:pt x="0" y="0"/>
                                </a:moveTo>
                                <a:lnTo>
                                  <a:pt x="6016625" y="0"/>
                                </a:lnTo>
                                <a:lnTo>
                                  <a:pt x="601662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8" name="Shape 189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99" name="Shape 1899"/>
                        <wps:cNvSpPr/>
                        <wps:spPr>
                          <a:xfrm>
                            <a:off x="3353" y="762"/>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0" name="Shape 1900"/>
                        <wps:cNvSpPr/>
                        <wps:spPr>
                          <a:xfrm>
                            <a:off x="6016498"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1" name="Shape 1901"/>
                        <wps:cNvSpPr/>
                        <wps:spPr>
                          <a:xfrm>
                            <a:off x="305" y="381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02" name="Shape 1902"/>
                        <wps:cNvSpPr/>
                        <wps:spPr>
                          <a:xfrm>
                            <a:off x="6016498" y="381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3" name="Shape 1903"/>
                        <wps:cNvSpPr/>
                        <wps:spPr>
                          <a:xfrm>
                            <a:off x="305"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4" name="Shape 1904"/>
                        <wps:cNvSpPr/>
                        <wps:spPr>
                          <a:xfrm>
                            <a:off x="3353" y="16002"/>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5" name="Shape 1905"/>
                        <wps:cNvSpPr/>
                        <wps:spPr>
                          <a:xfrm>
                            <a:off x="6016498" y="160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5" style="width:473.98pt;height:1.5pt;mso-position-horizontal-relative:char;mso-position-vertical-relative:line" coordsize="60195,190">
                <v:shape id="Shape 1906" style="position:absolute;width:60166;height:184;left:0;top:0;" coordsize="6016625,18415" path="m0,0l6016625,0l6016625,18415l0,18415l0,0">
                  <v:stroke weight="0pt" endcap="flat" joinstyle="miter" miterlimit="10" on="false" color="#000000" opacity="0"/>
                  <v:fill on="true" color="#a0a0a0"/>
                </v:shape>
                <v:shape id="Shape 1907" style="position:absolute;width:91;height:91;left:3;top:7;" coordsize="9144,9144" path="m0,0l9144,0l9144,9144l0,9144l0,0">
                  <v:stroke weight="0pt" endcap="flat" joinstyle="miter" miterlimit="10" on="false" color="#000000" opacity="0"/>
                  <v:fill on="true" color="#a0a0a0"/>
                </v:shape>
                <v:shape id="Shape 1908" style="position:absolute;width:60130;height:91;left:33;top:7;" coordsize="6013069,9144" path="m0,0l6013069,0l6013069,9144l0,9144l0,0">
                  <v:stroke weight="0pt" endcap="flat" joinstyle="miter" miterlimit="10" on="false" color="#000000" opacity="0"/>
                  <v:fill on="true" color="#a0a0a0"/>
                </v:shape>
                <v:shape id="Shape 1909" style="position:absolute;width:91;height:91;left:60164;top:7;" coordsize="9144,9144" path="m0,0l9144,0l9144,9144l0,9144l0,0">
                  <v:stroke weight="0pt" endcap="flat" joinstyle="miter" miterlimit="10" on="false" color="#000000" opacity="0"/>
                  <v:fill on="true" color="#a0a0a0"/>
                </v:shape>
                <v:shape id="Shape 1910" style="position:absolute;width:91;height:121;left:3;top:38;" coordsize="9144,12192" path="m0,0l9144,0l9144,12192l0,12192l0,0">
                  <v:stroke weight="0pt" endcap="flat" joinstyle="miter" miterlimit="10" on="false" color="#000000" opacity="0"/>
                  <v:fill on="true" color="#a0a0a0"/>
                </v:shape>
                <v:shape id="Shape 1911" style="position:absolute;width:91;height:121;left:60164;top:38;" coordsize="9144,12192" path="m0,0l9144,0l9144,12192l0,12192l0,0">
                  <v:stroke weight="0pt" endcap="flat" joinstyle="miter" miterlimit="10" on="false" color="#000000" opacity="0"/>
                  <v:fill on="true" color="#e3e3e3"/>
                </v:shape>
                <v:shape id="Shape 1912" style="position:absolute;width:91;height:91;left:3;top:160;" coordsize="9144,9144" path="m0,0l9144,0l9144,9144l0,9144l0,0">
                  <v:stroke weight="0pt" endcap="flat" joinstyle="miter" miterlimit="10" on="false" color="#000000" opacity="0"/>
                  <v:fill on="true" color="#e3e3e3"/>
                </v:shape>
                <v:shape id="Shape 1913" style="position:absolute;width:60130;height:91;left:33;top:160;" coordsize="6013069,9144" path="m0,0l6013069,0l6013069,9144l0,9144l0,0">
                  <v:stroke weight="0pt" endcap="flat" joinstyle="miter" miterlimit="10" on="false" color="#000000" opacity="0"/>
                  <v:fill on="true" color="#e3e3e3"/>
                </v:shape>
                <v:shape id="Shape 1914" style="position:absolute;width:91;height:91;left:60164;top:160;"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sz w:val="24"/>
        </w:rPr>
        <w:t xml:space="preserve"> </w:t>
      </w:r>
    </w:p>
    <w:p w14:paraId="230427B8" w14:textId="77777777" w:rsidR="000D0CC2" w:rsidRDefault="00000000">
      <w:pPr>
        <w:spacing w:after="19"/>
      </w:pPr>
      <w:r>
        <w:rPr>
          <w:rFonts w:ascii="Arial" w:eastAsia="Arial" w:hAnsi="Arial" w:cs="Arial"/>
          <w:b/>
          <w:sz w:val="24"/>
        </w:rPr>
        <w:t xml:space="preserve"> </w:t>
      </w:r>
    </w:p>
    <w:p w14:paraId="71748BD7" w14:textId="77777777" w:rsidR="000D0CC2" w:rsidRDefault="00000000">
      <w:pPr>
        <w:pStyle w:val="Heading1"/>
        <w:ind w:left="-5"/>
      </w:pPr>
      <w:r>
        <w:t xml:space="preserve">COURSE OUTCOME COVERED </w:t>
      </w:r>
    </w:p>
    <w:p w14:paraId="1F25BAAF" w14:textId="77777777" w:rsidR="000D0CC2" w:rsidRDefault="00000000">
      <w:pPr>
        <w:spacing w:after="19"/>
      </w:pPr>
      <w:r>
        <w:rPr>
          <w:rFonts w:ascii="Arial" w:eastAsia="Arial" w:hAnsi="Arial" w:cs="Arial"/>
          <w:b/>
          <w:sz w:val="24"/>
        </w:rPr>
        <w:t xml:space="preserve"> </w:t>
      </w:r>
    </w:p>
    <w:p w14:paraId="05777D8E" w14:textId="77777777" w:rsidR="000D0CC2" w:rsidRDefault="00000000">
      <w:pPr>
        <w:spacing w:after="9" w:line="267" w:lineRule="auto"/>
        <w:ind w:left="-5" w:hanging="10"/>
      </w:pPr>
      <w:r>
        <w:rPr>
          <w:rFonts w:ascii="Arial" w:eastAsia="Arial" w:hAnsi="Arial" w:cs="Arial"/>
          <w:b/>
          <w:sz w:val="24"/>
        </w:rPr>
        <w:t xml:space="preserve">CO4: </w:t>
      </w:r>
      <w:r>
        <w:rPr>
          <w:rFonts w:ascii="Arial" w:eastAsia="Arial" w:hAnsi="Arial" w:cs="Arial"/>
          <w:i/>
          <w:sz w:val="24"/>
        </w:rPr>
        <w:t xml:space="preserve">Implement best security practices for IP, email, and web service using PGP, S/MIME for enhancing email Security.CO </w:t>
      </w:r>
      <w:r>
        <w:rPr>
          <w:rFonts w:ascii="Arial" w:eastAsia="Arial" w:hAnsi="Arial" w:cs="Arial"/>
          <w:sz w:val="24"/>
        </w:rPr>
        <w:t xml:space="preserve">(BL3, BL6) </w:t>
      </w:r>
    </w:p>
    <w:p w14:paraId="541869FB" w14:textId="77777777" w:rsidR="000D0CC2" w:rsidRDefault="00000000">
      <w:pPr>
        <w:spacing w:after="19"/>
      </w:pPr>
      <w:r>
        <w:rPr>
          <w:rFonts w:ascii="Arial" w:eastAsia="Arial" w:hAnsi="Arial" w:cs="Arial"/>
          <w:sz w:val="24"/>
        </w:rPr>
        <w:t xml:space="preserve"> </w:t>
      </w:r>
    </w:p>
    <w:p w14:paraId="47A6A144" w14:textId="77777777" w:rsidR="000D0CC2" w:rsidRDefault="00000000">
      <w:pPr>
        <w:spacing w:after="9" w:line="267" w:lineRule="auto"/>
        <w:ind w:left="-5" w:hanging="10"/>
      </w:pPr>
      <w:r>
        <w:rPr>
          <w:rFonts w:ascii="Arial" w:eastAsia="Arial" w:hAnsi="Arial" w:cs="Arial"/>
          <w:i/>
          <w:sz w:val="24"/>
        </w:rPr>
        <w:t xml:space="preserve">Assessment Tool Weightage: 10% </w:t>
      </w:r>
    </w:p>
    <w:p w14:paraId="5E859ACC" w14:textId="77777777" w:rsidR="000D0CC2" w:rsidRDefault="00000000">
      <w:pPr>
        <w:spacing w:after="52"/>
      </w:pPr>
      <w:r>
        <w:rPr>
          <w:rFonts w:ascii="Arial" w:eastAsia="Arial" w:hAnsi="Arial" w:cs="Arial"/>
          <w:sz w:val="24"/>
        </w:rPr>
        <w:t xml:space="preserve"> </w:t>
      </w:r>
    </w:p>
    <w:p w14:paraId="46906FEE" w14:textId="77777777" w:rsidR="000D0CC2" w:rsidRDefault="00000000">
      <w:pPr>
        <w:spacing w:after="0"/>
        <w:jc w:val="right"/>
      </w:pPr>
      <w:r>
        <w:rPr>
          <w:noProof/>
        </w:rPr>
        <mc:AlternateContent>
          <mc:Choice Requires="wpg">
            <w:drawing>
              <wp:inline distT="0" distB="0" distL="0" distR="0" wp14:anchorId="4721BEAF" wp14:editId="749D2181">
                <wp:extent cx="6019546" cy="19431"/>
                <wp:effectExtent l="0" t="0" r="0" b="0"/>
                <wp:docPr id="1436" name="Group 1436"/>
                <wp:cNvGraphicFramePr/>
                <a:graphic xmlns:a="http://schemas.openxmlformats.org/drawingml/2006/main">
                  <a:graphicData uri="http://schemas.microsoft.com/office/word/2010/wordprocessingGroup">
                    <wpg:wgp>
                      <wpg:cNvGrpSpPr/>
                      <wpg:grpSpPr>
                        <a:xfrm>
                          <a:off x="0" y="0"/>
                          <a:ext cx="6019546" cy="19431"/>
                          <a:chOff x="0" y="0"/>
                          <a:chExt cx="6019546" cy="19431"/>
                        </a:xfrm>
                      </wpg:grpSpPr>
                      <wps:wsp>
                        <wps:cNvPr id="1915" name="Shape 1915"/>
                        <wps:cNvSpPr/>
                        <wps:spPr>
                          <a:xfrm>
                            <a:off x="0" y="0"/>
                            <a:ext cx="6016625" cy="18415"/>
                          </a:xfrm>
                          <a:custGeom>
                            <a:avLst/>
                            <a:gdLst/>
                            <a:ahLst/>
                            <a:cxnLst/>
                            <a:rect l="0" t="0" r="0" b="0"/>
                            <a:pathLst>
                              <a:path w="6016625" h="18415">
                                <a:moveTo>
                                  <a:pt x="0" y="0"/>
                                </a:moveTo>
                                <a:lnTo>
                                  <a:pt x="6016625" y="0"/>
                                </a:lnTo>
                                <a:lnTo>
                                  <a:pt x="601662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16" name="Shape 191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17" name="Shape 1917"/>
                        <wps:cNvSpPr/>
                        <wps:spPr>
                          <a:xfrm>
                            <a:off x="3353" y="1143"/>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18" name="Shape 1918"/>
                        <wps:cNvSpPr/>
                        <wps:spPr>
                          <a:xfrm>
                            <a:off x="601649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19" name="Shape 1919"/>
                        <wps:cNvSpPr/>
                        <wps:spPr>
                          <a:xfrm>
                            <a:off x="305" y="419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20" name="Shape 1920"/>
                        <wps:cNvSpPr/>
                        <wps:spPr>
                          <a:xfrm>
                            <a:off x="6016498" y="419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21" name="Shape 1921"/>
                        <wps:cNvSpPr/>
                        <wps:spPr>
                          <a:xfrm>
                            <a:off x="305"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22" name="Shape 1922"/>
                        <wps:cNvSpPr/>
                        <wps:spPr>
                          <a:xfrm>
                            <a:off x="3353" y="16383"/>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23" name="Shape 1923"/>
                        <wps:cNvSpPr/>
                        <wps:spPr>
                          <a:xfrm>
                            <a:off x="6016498"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6" style="width:473.98pt;height:1.53pt;mso-position-horizontal-relative:char;mso-position-vertical-relative:line" coordsize="60195,194">
                <v:shape id="Shape 1924" style="position:absolute;width:60166;height:184;left:0;top:0;" coordsize="6016625,18415" path="m0,0l6016625,0l6016625,18415l0,18415l0,0">
                  <v:stroke weight="0pt" endcap="flat" joinstyle="miter" miterlimit="10" on="false" color="#000000" opacity="0"/>
                  <v:fill on="true" color="#a0a0a0"/>
                </v:shape>
                <v:shape id="Shape 1925" style="position:absolute;width:91;height:91;left:3;top:11;" coordsize="9144,9144" path="m0,0l9144,0l9144,9144l0,9144l0,0">
                  <v:stroke weight="0pt" endcap="flat" joinstyle="miter" miterlimit="10" on="false" color="#000000" opacity="0"/>
                  <v:fill on="true" color="#a0a0a0"/>
                </v:shape>
                <v:shape id="Shape 1926" style="position:absolute;width:60130;height:91;left:33;top:11;" coordsize="6013069,9144" path="m0,0l6013069,0l6013069,9144l0,9144l0,0">
                  <v:stroke weight="0pt" endcap="flat" joinstyle="miter" miterlimit="10" on="false" color="#000000" opacity="0"/>
                  <v:fill on="true" color="#a0a0a0"/>
                </v:shape>
                <v:shape id="Shape 1927" style="position:absolute;width:91;height:91;left:60164;top:11;" coordsize="9144,9144" path="m0,0l9144,0l9144,9144l0,9144l0,0">
                  <v:stroke weight="0pt" endcap="flat" joinstyle="miter" miterlimit="10" on="false" color="#000000" opacity="0"/>
                  <v:fill on="true" color="#a0a0a0"/>
                </v:shape>
                <v:shape id="Shape 1928" style="position:absolute;width:91;height:121;left:3;top:41;" coordsize="9144,12192" path="m0,0l9144,0l9144,12192l0,12192l0,0">
                  <v:stroke weight="0pt" endcap="flat" joinstyle="miter" miterlimit="10" on="false" color="#000000" opacity="0"/>
                  <v:fill on="true" color="#a0a0a0"/>
                </v:shape>
                <v:shape id="Shape 1929" style="position:absolute;width:91;height:121;left:60164;top:41;" coordsize="9144,12192" path="m0,0l9144,0l9144,12192l0,12192l0,0">
                  <v:stroke weight="0pt" endcap="flat" joinstyle="miter" miterlimit="10" on="false" color="#000000" opacity="0"/>
                  <v:fill on="true" color="#e3e3e3"/>
                </v:shape>
                <v:shape id="Shape 1930" style="position:absolute;width:91;height:91;left:3;top:163;" coordsize="9144,9144" path="m0,0l9144,0l9144,9144l0,9144l0,0">
                  <v:stroke weight="0pt" endcap="flat" joinstyle="miter" miterlimit="10" on="false" color="#000000" opacity="0"/>
                  <v:fill on="true" color="#e3e3e3"/>
                </v:shape>
                <v:shape id="Shape 1931" style="position:absolute;width:60130;height:91;left:33;top:163;" coordsize="6013069,9144" path="m0,0l6013069,0l6013069,9144l0,9144l0,0">
                  <v:stroke weight="0pt" endcap="flat" joinstyle="miter" miterlimit="10" on="false" color="#000000" opacity="0"/>
                  <v:fill on="true" color="#e3e3e3"/>
                </v:shape>
                <v:shape id="Shape 1932" style="position:absolute;width:91;height:91;left:60164;top:163;"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sz w:val="24"/>
        </w:rPr>
        <w:t xml:space="preserve"> </w:t>
      </w:r>
    </w:p>
    <w:p w14:paraId="2E22E5EA" w14:textId="77777777" w:rsidR="000D0CC2" w:rsidRDefault="00000000">
      <w:pPr>
        <w:spacing w:after="40"/>
      </w:pPr>
      <w:r>
        <w:rPr>
          <w:rFonts w:ascii="Arial" w:eastAsia="Arial" w:hAnsi="Arial" w:cs="Arial"/>
          <w:sz w:val="24"/>
        </w:rPr>
        <w:t xml:space="preserve"> </w:t>
      </w:r>
    </w:p>
    <w:p w14:paraId="0BDAFD6E" w14:textId="77777777" w:rsidR="000D0CC2" w:rsidRDefault="00000000">
      <w:pPr>
        <w:pStyle w:val="Heading1"/>
        <w:tabs>
          <w:tab w:val="center" w:pos="2161"/>
          <w:tab w:val="center" w:pos="2882"/>
          <w:tab w:val="center" w:pos="3602"/>
          <w:tab w:val="center" w:pos="4322"/>
          <w:tab w:val="center" w:pos="5042"/>
          <w:tab w:val="center" w:pos="7443"/>
        </w:tabs>
        <w:ind w:left="-15" w:firstLine="0"/>
      </w:pPr>
      <w:r>
        <w:t xml:space="preserve">QUESTIONS: 5 </w:t>
      </w:r>
      <w:r>
        <w:tab/>
        <w:t xml:space="preserve"> </w:t>
      </w:r>
      <w:r>
        <w:tab/>
        <w:t xml:space="preserve"> </w:t>
      </w:r>
      <w:r>
        <w:tab/>
        <w:t xml:space="preserve"> </w:t>
      </w:r>
      <w:r>
        <w:tab/>
        <w:t xml:space="preserve"> </w:t>
      </w:r>
      <w:r>
        <w:tab/>
        <w:t xml:space="preserve"> </w:t>
      </w:r>
      <w:r>
        <w:tab/>
        <w:t xml:space="preserve">                  TOTAL MARKS: 50 </w:t>
      </w:r>
    </w:p>
    <w:p w14:paraId="6B391A02" w14:textId="77777777" w:rsidR="000D0CC2" w:rsidRDefault="00000000">
      <w:pPr>
        <w:spacing w:after="19"/>
      </w:pPr>
      <w:r>
        <w:rPr>
          <w:rFonts w:ascii="Arial" w:eastAsia="Arial" w:hAnsi="Arial" w:cs="Arial"/>
          <w:b/>
          <w:sz w:val="24"/>
        </w:rPr>
        <w:t xml:space="preserve"> </w:t>
      </w:r>
    </w:p>
    <w:p w14:paraId="08A7AFA6" w14:textId="77777777" w:rsidR="000D0CC2" w:rsidRDefault="00000000">
      <w:pPr>
        <w:spacing w:after="24"/>
        <w:ind w:right="73"/>
        <w:jc w:val="center"/>
      </w:pPr>
      <w:r>
        <w:rPr>
          <w:rFonts w:ascii="Arial" w:eastAsia="Arial" w:hAnsi="Arial" w:cs="Arial"/>
          <w:b/>
          <w:sz w:val="24"/>
        </w:rPr>
        <w:t xml:space="preserve">Annexure A </w:t>
      </w:r>
    </w:p>
    <w:p w14:paraId="240A1C98" w14:textId="77777777" w:rsidR="000D0CC2" w:rsidRDefault="00000000">
      <w:pPr>
        <w:spacing w:after="19"/>
        <w:ind w:left="10" w:right="66" w:hanging="10"/>
        <w:jc w:val="center"/>
      </w:pPr>
      <w:r>
        <w:rPr>
          <w:rFonts w:ascii="Arial" w:eastAsia="Arial" w:hAnsi="Arial" w:cs="Arial"/>
          <w:b/>
          <w:i/>
          <w:sz w:val="24"/>
        </w:rPr>
        <w:t>Comparative Analysis</w:t>
      </w:r>
      <w:r>
        <w:rPr>
          <w:rFonts w:ascii="Arial" w:eastAsia="Arial" w:hAnsi="Arial" w:cs="Arial"/>
          <w:b/>
          <w:sz w:val="24"/>
        </w:rPr>
        <w:t xml:space="preserve"> </w:t>
      </w:r>
    </w:p>
    <w:p w14:paraId="32F7A9EB" w14:textId="77777777" w:rsidR="000D0CC2" w:rsidRDefault="00000000">
      <w:pPr>
        <w:spacing w:after="19"/>
      </w:pPr>
      <w:r>
        <w:rPr>
          <w:rFonts w:ascii="Arial" w:eastAsia="Arial" w:hAnsi="Arial" w:cs="Arial"/>
          <w:sz w:val="24"/>
        </w:rPr>
        <w:t xml:space="preserve"> </w:t>
      </w:r>
    </w:p>
    <w:p w14:paraId="623E66C6" w14:textId="77777777" w:rsidR="000D0CC2" w:rsidRDefault="00000000">
      <w:pPr>
        <w:spacing w:after="48"/>
      </w:pPr>
      <w:r>
        <w:rPr>
          <w:rFonts w:ascii="Arial" w:eastAsia="Arial" w:hAnsi="Arial" w:cs="Arial"/>
          <w:b/>
          <w:sz w:val="24"/>
        </w:rPr>
        <w:t xml:space="preserve"> </w:t>
      </w:r>
    </w:p>
    <w:p w14:paraId="0EF9A1EF" w14:textId="77777777" w:rsidR="000D0CC2" w:rsidRDefault="00000000">
      <w:pPr>
        <w:spacing w:after="0"/>
        <w:jc w:val="right"/>
      </w:pPr>
      <w:r>
        <w:rPr>
          <w:noProof/>
        </w:rPr>
        <mc:AlternateContent>
          <mc:Choice Requires="wpg">
            <w:drawing>
              <wp:inline distT="0" distB="0" distL="0" distR="0" wp14:anchorId="4B1B3B36" wp14:editId="6EBB6F70">
                <wp:extent cx="6019546" cy="20193"/>
                <wp:effectExtent l="0" t="0" r="0" b="0"/>
                <wp:docPr id="1437" name="Group 1437"/>
                <wp:cNvGraphicFramePr/>
                <a:graphic xmlns:a="http://schemas.openxmlformats.org/drawingml/2006/main">
                  <a:graphicData uri="http://schemas.microsoft.com/office/word/2010/wordprocessingGroup">
                    <wpg:wgp>
                      <wpg:cNvGrpSpPr/>
                      <wpg:grpSpPr>
                        <a:xfrm>
                          <a:off x="0" y="0"/>
                          <a:ext cx="6019546" cy="20193"/>
                          <a:chOff x="0" y="0"/>
                          <a:chExt cx="6019546" cy="20193"/>
                        </a:xfrm>
                      </wpg:grpSpPr>
                      <wps:wsp>
                        <wps:cNvPr id="1933" name="Shape 1933"/>
                        <wps:cNvSpPr/>
                        <wps:spPr>
                          <a:xfrm>
                            <a:off x="0" y="0"/>
                            <a:ext cx="6016625" cy="18415"/>
                          </a:xfrm>
                          <a:custGeom>
                            <a:avLst/>
                            <a:gdLst/>
                            <a:ahLst/>
                            <a:cxnLst/>
                            <a:rect l="0" t="0" r="0" b="0"/>
                            <a:pathLst>
                              <a:path w="6016625" h="18415">
                                <a:moveTo>
                                  <a:pt x="0" y="0"/>
                                </a:moveTo>
                                <a:lnTo>
                                  <a:pt x="6016625" y="0"/>
                                </a:lnTo>
                                <a:lnTo>
                                  <a:pt x="6016625"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4" name="Shape 1934"/>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5" name="Shape 1935"/>
                        <wps:cNvSpPr/>
                        <wps:spPr>
                          <a:xfrm>
                            <a:off x="3353" y="1905"/>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6" name="Shape 1936"/>
                        <wps:cNvSpPr/>
                        <wps:spPr>
                          <a:xfrm>
                            <a:off x="601649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7" name="Shape 1937"/>
                        <wps:cNvSpPr/>
                        <wps:spPr>
                          <a:xfrm>
                            <a:off x="305" y="495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38" name="Shape 1938"/>
                        <wps:cNvSpPr/>
                        <wps:spPr>
                          <a:xfrm>
                            <a:off x="6016498" y="495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39" name="Shape 193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0" name="Shape 1940"/>
                        <wps:cNvSpPr/>
                        <wps:spPr>
                          <a:xfrm>
                            <a:off x="3353" y="17145"/>
                            <a:ext cx="6013069" cy="9144"/>
                          </a:xfrm>
                          <a:custGeom>
                            <a:avLst/>
                            <a:gdLst/>
                            <a:ahLst/>
                            <a:cxnLst/>
                            <a:rect l="0" t="0" r="0" b="0"/>
                            <a:pathLst>
                              <a:path w="6013069" h="9144">
                                <a:moveTo>
                                  <a:pt x="0" y="0"/>
                                </a:moveTo>
                                <a:lnTo>
                                  <a:pt x="6013069" y="0"/>
                                </a:lnTo>
                                <a:lnTo>
                                  <a:pt x="60130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1" name="Shape 1941"/>
                        <wps:cNvSpPr/>
                        <wps:spPr>
                          <a:xfrm>
                            <a:off x="601649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7" style="width:473.98pt;height:1.59pt;mso-position-horizontal-relative:char;mso-position-vertical-relative:line" coordsize="60195,201">
                <v:shape id="Shape 1942" style="position:absolute;width:60166;height:184;left:0;top:0;" coordsize="6016625,18415" path="m0,0l6016625,0l6016625,18415l0,18415l0,0">
                  <v:stroke weight="0pt" endcap="flat" joinstyle="miter" miterlimit="10" on="false" color="#000000" opacity="0"/>
                  <v:fill on="true" color="#a0a0a0"/>
                </v:shape>
                <v:shape id="Shape 1943" style="position:absolute;width:91;height:91;left:3;top:19;" coordsize="9144,9144" path="m0,0l9144,0l9144,9144l0,9144l0,0">
                  <v:stroke weight="0pt" endcap="flat" joinstyle="miter" miterlimit="10" on="false" color="#000000" opacity="0"/>
                  <v:fill on="true" color="#a0a0a0"/>
                </v:shape>
                <v:shape id="Shape 1944" style="position:absolute;width:60130;height:91;left:33;top:19;" coordsize="6013069,9144" path="m0,0l6013069,0l6013069,9144l0,9144l0,0">
                  <v:stroke weight="0pt" endcap="flat" joinstyle="miter" miterlimit="10" on="false" color="#000000" opacity="0"/>
                  <v:fill on="true" color="#a0a0a0"/>
                </v:shape>
                <v:shape id="Shape 1945" style="position:absolute;width:91;height:91;left:60164;top:19;" coordsize="9144,9144" path="m0,0l9144,0l9144,9144l0,9144l0,0">
                  <v:stroke weight="0pt" endcap="flat" joinstyle="miter" miterlimit="10" on="false" color="#000000" opacity="0"/>
                  <v:fill on="true" color="#a0a0a0"/>
                </v:shape>
                <v:shape id="Shape 1946" style="position:absolute;width:91;height:121;left:3;top:49;" coordsize="9144,12192" path="m0,0l9144,0l9144,12192l0,12192l0,0">
                  <v:stroke weight="0pt" endcap="flat" joinstyle="miter" miterlimit="10" on="false" color="#000000" opacity="0"/>
                  <v:fill on="true" color="#a0a0a0"/>
                </v:shape>
                <v:shape id="Shape 1947" style="position:absolute;width:91;height:121;left:60164;top:49;" coordsize="9144,12192" path="m0,0l9144,0l9144,12192l0,12192l0,0">
                  <v:stroke weight="0pt" endcap="flat" joinstyle="miter" miterlimit="10" on="false" color="#000000" opacity="0"/>
                  <v:fill on="true" color="#e3e3e3"/>
                </v:shape>
                <v:shape id="Shape 1948" style="position:absolute;width:91;height:91;left:3;top:171;" coordsize="9144,9144" path="m0,0l9144,0l9144,9144l0,9144l0,0">
                  <v:stroke weight="0pt" endcap="flat" joinstyle="miter" miterlimit="10" on="false" color="#000000" opacity="0"/>
                  <v:fill on="true" color="#e3e3e3"/>
                </v:shape>
                <v:shape id="Shape 1949" style="position:absolute;width:60130;height:91;left:33;top:171;" coordsize="6013069,9144" path="m0,0l6013069,0l6013069,9144l0,9144l0,0">
                  <v:stroke weight="0pt" endcap="flat" joinstyle="miter" miterlimit="10" on="false" color="#000000" opacity="0"/>
                  <v:fill on="true" color="#e3e3e3"/>
                </v:shape>
                <v:shape id="Shape 1950" style="position:absolute;width:91;height:91;left:60164;top:17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sz w:val="24"/>
        </w:rPr>
        <w:t xml:space="preserve"> </w:t>
      </w:r>
    </w:p>
    <w:p w14:paraId="19C605CC" w14:textId="77777777" w:rsidR="000D0CC2" w:rsidRDefault="00000000">
      <w:pPr>
        <w:spacing w:after="19"/>
      </w:pPr>
      <w:r>
        <w:rPr>
          <w:rFonts w:ascii="Arial" w:eastAsia="Arial" w:hAnsi="Arial" w:cs="Arial"/>
          <w:b/>
          <w:sz w:val="24"/>
        </w:rPr>
        <w:t xml:space="preserve"> </w:t>
      </w:r>
    </w:p>
    <w:p w14:paraId="5CD930E2" w14:textId="77777777" w:rsidR="000D0CC2" w:rsidRDefault="00000000">
      <w:pPr>
        <w:spacing w:after="19"/>
      </w:pPr>
      <w:r>
        <w:rPr>
          <w:rFonts w:ascii="Arial" w:eastAsia="Arial" w:hAnsi="Arial" w:cs="Arial"/>
          <w:b/>
          <w:i/>
          <w:sz w:val="24"/>
        </w:rPr>
        <w:t xml:space="preserve"> </w:t>
      </w:r>
    </w:p>
    <w:p w14:paraId="13353CC6" w14:textId="77777777" w:rsidR="000D0CC2" w:rsidRDefault="00000000">
      <w:pPr>
        <w:spacing w:after="19"/>
        <w:ind w:left="-5" w:hanging="10"/>
      </w:pPr>
      <w:r>
        <w:rPr>
          <w:rFonts w:ascii="Arial" w:eastAsia="Arial" w:hAnsi="Arial" w:cs="Arial"/>
          <w:b/>
          <w:i/>
          <w:sz w:val="24"/>
        </w:rPr>
        <w:t xml:space="preserve">Code of Conduct: </w:t>
      </w:r>
    </w:p>
    <w:p w14:paraId="7C693644" w14:textId="77777777" w:rsidR="000D0CC2" w:rsidRDefault="00000000">
      <w:pPr>
        <w:spacing w:after="19"/>
      </w:pPr>
      <w:r>
        <w:rPr>
          <w:rFonts w:ascii="Arial" w:eastAsia="Arial" w:hAnsi="Arial" w:cs="Arial"/>
          <w:i/>
          <w:sz w:val="24"/>
        </w:rPr>
        <w:t xml:space="preserve"> </w:t>
      </w:r>
    </w:p>
    <w:p w14:paraId="6B53D3B3" w14:textId="75C3282A" w:rsidR="000D0CC2" w:rsidRDefault="00000000">
      <w:pPr>
        <w:spacing w:after="9" w:line="267" w:lineRule="auto"/>
        <w:ind w:left="-5" w:hanging="10"/>
      </w:pPr>
      <w:r>
        <w:rPr>
          <w:rFonts w:ascii="Arial" w:eastAsia="Arial" w:hAnsi="Arial" w:cs="Arial"/>
          <w:i/>
          <w:sz w:val="24"/>
        </w:rPr>
        <w:t xml:space="preserve">I </w:t>
      </w:r>
      <w:r w:rsidR="00C374CC">
        <w:rPr>
          <w:rFonts w:ascii="Arial" w:eastAsia="Arial" w:hAnsi="Arial" w:cs="Arial"/>
          <w:i/>
          <w:sz w:val="24"/>
        </w:rPr>
        <w:t>DHARANI KARTHICK 192521110</w:t>
      </w:r>
      <w:r>
        <w:rPr>
          <w:rFonts w:ascii="Arial" w:eastAsia="Arial" w:hAnsi="Arial" w:cs="Arial"/>
          <w:i/>
          <w:sz w:val="24"/>
        </w:rPr>
        <w:t xml:space="preserve"> (Name / Reg No) certify that this submission is my original work and that I have adhered to the guidelines specified for this assessment. </w:t>
      </w:r>
    </w:p>
    <w:p w14:paraId="09ED63C1" w14:textId="77777777" w:rsidR="000D0CC2" w:rsidRDefault="00000000">
      <w:pPr>
        <w:spacing w:after="9" w:line="267" w:lineRule="auto"/>
        <w:ind w:left="-5" w:hanging="10"/>
      </w:pPr>
      <w:r>
        <w:rPr>
          <w:rFonts w:ascii="Arial" w:eastAsia="Arial" w:hAnsi="Arial" w:cs="Arial"/>
          <w:i/>
          <w:sz w:val="24"/>
        </w:rPr>
        <w:t xml:space="preserve">I understand that any violation of academic integrity rules will result in disciplinary action. </w:t>
      </w:r>
    </w:p>
    <w:p w14:paraId="7318A1FA" w14:textId="77777777" w:rsidR="000D0CC2" w:rsidRDefault="00000000">
      <w:pPr>
        <w:spacing w:after="24"/>
      </w:pPr>
      <w:r>
        <w:rPr>
          <w:rFonts w:ascii="Arial" w:eastAsia="Arial" w:hAnsi="Arial" w:cs="Arial"/>
          <w:i/>
          <w:sz w:val="24"/>
        </w:rPr>
        <w:t xml:space="preserve"> </w:t>
      </w:r>
    </w:p>
    <w:p w14:paraId="130ADCDF" w14:textId="77777777" w:rsidR="000D0CC2" w:rsidRDefault="00000000">
      <w:pPr>
        <w:spacing w:after="19"/>
      </w:pPr>
      <w:r>
        <w:rPr>
          <w:rFonts w:ascii="Arial" w:eastAsia="Arial" w:hAnsi="Arial" w:cs="Arial"/>
          <w:i/>
          <w:sz w:val="24"/>
        </w:rPr>
        <w:t xml:space="preserve"> </w:t>
      </w:r>
    </w:p>
    <w:p w14:paraId="22C823F7" w14:textId="77777777" w:rsidR="000D0CC2" w:rsidRDefault="00000000">
      <w:pPr>
        <w:spacing w:after="19"/>
      </w:pPr>
      <w:r>
        <w:rPr>
          <w:rFonts w:ascii="Arial" w:eastAsia="Arial" w:hAnsi="Arial" w:cs="Arial"/>
          <w:i/>
          <w:sz w:val="24"/>
        </w:rPr>
        <w:t xml:space="preserve"> </w:t>
      </w:r>
    </w:p>
    <w:p w14:paraId="7318831C" w14:textId="77777777" w:rsidR="000D0CC2" w:rsidRDefault="00000000">
      <w:pPr>
        <w:spacing w:after="19"/>
        <w:ind w:left="-5" w:hanging="10"/>
      </w:pPr>
      <w:r>
        <w:rPr>
          <w:rFonts w:ascii="Arial" w:eastAsia="Arial" w:hAnsi="Arial" w:cs="Arial"/>
          <w:b/>
          <w:i/>
          <w:sz w:val="24"/>
        </w:rPr>
        <w:t xml:space="preserve">Signature of the student: </w:t>
      </w:r>
    </w:p>
    <w:p w14:paraId="0E6AB4D9" w14:textId="77777777" w:rsidR="000D0CC2" w:rsidRDefault="00000000">
      <w:pPr>
        <w:spacing w:after="19"/>
      </w:pPr>
      <w:r>
        <w:rPr>
          <w:rFonts w:ascii="Arial" w:eastAsia="Arial" w:hAnsi="Arial" w:cs="Arial"/>
          <w:sz w:val="24"/>
        </w:rPr>
        <w:t xml:space="preserve"> </w:t>
      </w:r>
    </w:p>
    <w:p w14:paraId="2EA89D0F" w14:textId="77777777" w:rsidR="000D0CC2" w:rsidRDefault="00000000">
      <w:pPr>
        <w:spacing w:after="19"/>
      </w:pPr>
      <w:r>
        <w:rPr>
          <w:rFonts w:ascii="Arial" w:eastAsia="Arial" w:hAnsi="Arial" w:cs="Arial"/>
          <w:i/>
          <w:sz w:val="24"/>
        </w:rPr>
        <w:t xml:space="preserve"> </w:t>
      </w:r>
    </w:p>
    <w:p w14:paraId="159E1315" w14:textId="77777777" w:rsidR="000D0CC2" w:rsidRDefault="00000000">
      <w:pPr>
        <w:spacing w:after="19"/>
      </w:pPr>
      <w:r>
        <w:rPr>
          <w:rFonts w:ascii="Arial" w:eastAsia="Arial" w:hAnsi="Arial" w:cs="Arial"/>
          <w:i/>
          <w:sz w:val="24"/>
        </w:rPr>
        <w:t xml:space="preserve"> </w:t>
      </w:r>
    </w:p>
    <w:p w14:paraId="6C4EBCCE" w14:textId="77777777" w:rsidR="000D0CC2" w:rsidRDefault="00000000">
      <w:pPr>
        <w:spacing w:after="19"/>
      </w:pPr>
      <w:r>
        <w:rPr>
          <w:rFonts w:ascii="Arial" w:eastAsia="Arial" w:hAnsi="Arial" w:cs="Arial"/>
          <w:i/>
          <w:sz w:val="24"/>
        </w:rPr>
        <w:t xml:space="preserve"> </w:t>
      </w:r>
    </w:p>
    <w:p w14:paraId="23AE232C" w14:textId="77777777" w:rsidR="000D0CC2" w:rsidRDefault="00000000">
      <w:pPr>
        <w:spacing w:after="19"/>
      </w:pPr>
      <w:r>
        <w:rPr>
          <w:rFonts w:ascii="Arial" w:eastAsia="Arial" w:hAnsi="Arial" w:cs="Arial"/>
          <w:i/>
          <w:sz w:val="24"/>
        </w:rPr>
        <w:t xml:space="preserve"> </w:t>
      </w:r>
    </w:p>
    <w:p w14:paraId="6A881E08" w14:textId="77777777" w:rsidR="000D0CC2" w:rsidRDefault="00000000">
      <w:pPr>
        <w:spacing w:after="24"/>
      </w:pPr>
      <w:r>
        <w:rPr>
          <w:rFonts w:ascii="Arial" w:eastAsia="Arial" w:hAnsi="Arial" w:cs="Arial"/>
          <w:i/>
          <w:sz w:val="24"/>
        </w:rPr>
        <w:t xml:space="preserve"> </w:t>
      </w:r>
    </w:p>
    <w:p w14:paraId="02F50AF3" w14:textId="77777777" w:rsidR="000D0CC2" w:rsidRDefault="00000000">
      <w:pPr>
        <w:spacing w:after="0"/>
      </w:pPr>
      <w:r>
        <w:rPr>
          <w:rFonts w:ascii="Arial" w:eastAsia="Arial" w:hAnsi="Arial" w:cs="Arial"/>
          <w:i/>
          <w:sz w:val="24"/>
        </w:rPr>
        <w:t xml:space="preserve"> </w:t>
      </w:r>
    </w:p>
    <w:p w14:paraId="0DB1D14A" w14:textId="77777777" w:rsidR="000D0CC2" w:rsidRDefault="00000000">
      <w:pPr>
        <w:spacing w:after="19"/>
        <w:ind w:left="10" w:right="73" w:hanging="10"/>
        <w:jc w:val="center"/>
      </w:pPr>
      <w:r>
        <w:rPr>
          <w:rFonts w:ascii="Arial" w:eastAsia="Arial" w:hAnsi="Arial" w:cs="Arial"/>
          <w:b/>
          <w:i/>
          <w:sz w:val="24"/>
        </w:rPr>
        <w:lastRenderedPageBreak/>
        <w:t xml:space="preserve">Annexure A </w:t>
      </w:r>
    </w:p>
    <w:p w14:paraId="79B6C286" w14:textId="77777777" w:rsidR="000D0CC2" w:rsidRDefault="00000000">
      <w:pPr>
        <w:spacing w:after="19"/>
        <w:ind w:left="10" w:right="66" w:hanging="10"/>
        <w:jc w:val="center"/>
      </w:pPr>
      <w:r>
        <w:rPr>
          <w:rFonts w:ascii="Arial" w:eastAsia="Arial" w:hAnsi="Arial" w:cs="Arial"/>
          <w:b/>
          <w:i/>
          <w:sz w:val="24"/>
        </w:rPr>
        <w:t>Comparative Analysis</w:t>
      </w:r>
      <w:r>
        <w:rPr>
          <w:rFonts w:ascii="Arial" w:eastAsia="Arial" w:hAnsi="Arial" w:cs="Arial"/>
          <w:i/>
          <w:sz w:val="24"/>
        </w:rPr>
        <w:t xml:space="preserve"> </w:t>
      </w:r>
    </w:p>
    <w:p w14:paraId="735179D3" w14:textId="77777777" w:rsidR="000D0CC2" w:rsidRDefault="00000000">
      <w:pPr>
        <w:spacing w:after="19"/>
      </w:pPr>
      <w:r>
        <w:rPr>
          <w:rFonts w:ascii="Arial" w:eastAsia="Arial" w:hAnsi="Arial" w:cs="Arial"/>
          <w:i/>
          <w:sz w:val="24"/>
        </w:rPr>
        <w:t xml:space="preserve"> </w:t>
      </w:r>
    </w:p>
    <w:p w14:paraId="17BB8A44" w14:textId="77777777" w:rsidR="000D0CC2" w:rsidRDefault="00000000">
      <w:pPr>
        <w:numPr>
          <w:ilvl w:val="0"/>
          <w:numId w:val="1"/>
        </w:numPr>
        <w:spacing w:after="1" w:line="360" w:lineRule="auto"/>
        <w:ind w:left="705" w:right="59" w:hanging="360"/>
        <w:jc w:val="both"/>
      </w:pPr>
      <w:r>
        <w:rPr>
          <w:rFonts w:ascii="Arial" w:eastAsia="Arial" w:hAnsi="Arial" w:cs="Arial"/>
          <w:sz w:val="24"/>
        </w:rPr>
        <w:t xml:space="preserve">Compare Authentication Header (AH) and Encapsulating Security Payload (ESP) in IPSec with respect to security services, performance overhead, and suitability for different network scenarios. </w:t>
      </w:r>
      <w:proofErr w:type="spellStart"/>
      <w:r>
        <w:rPr>
          <w:rFonts w:ascii="Arial" w:eastAsia="Arial" w:hAnsi="Arial" w:cs="Arial"/>
          <w:sz w:val="24"/>
        </w:rPr>
        <w:t>Analyze</w:t>
      </w:r>
      <w:proofErr w:type="spellEnd"/>
      <w:r>
        <w:rPr>
          <w:rFonts w:ascii="Arial" w:eastAsia="Arial" w:hAnsi="Arial" w:cs="Arial"/>
          <w:sz w:val="24"/>
        </w:rPr>
        <w:t xml:space="preserve"> which is more appropriate for a VPN deployment.</w:t>
      </w:r>
      <w:r>
        <w:rPr>
          <w:rFonts w:ascii="Arial" w:eastAsia="Arial" w:hAnsi="Arial" w:cs="Arial"/>
          <w:b/>
          <w:sz w:val="24"/>
        </w:rPr>
        <w:t xml:space="preserve"> </w:t>
      </w:r>
    </w:p>
    <w:p w14:paraId="10B41ADD" w14:textId="77777777" w:rsidR="000D0CC2" w:rsidRDefault="00000000">
      <w:pPr>
        <w:spacing w:after="120"/>
        <w:ind w:left="721"/>
      </w:pPr>
      <w:r>
        <w:rPr>
          <w:rFonts w:ascii="Arial" w:eastAsia="Arial" w:hAnsi="Arial" w:cs="Arial"/>
          <w:sz w:val="24"/>
        </w:rPr>
        <w:t xml:space="preserve"> </w:t>
      </w:r>
    </w:p>
    <w:p w14:paraId="687740B0" w14:textId="77777777" w:rsidR="000D0CC2" w:rsidRDefault="00000000">
      <w:pPr>
        <w:numPr>
          <w:ilvl w:val="0"/>
          <w:numId w:val="1"/>
        </w:numPr>
        <w:spacing w:after="1" w:line="360" w:lineRule="auto"/>
        <w:ind w:left="705" w:right="59" w:hanging="360"/>
        <w:jc w:val="both"/>
      </w:pPr>
      <w:r>
        <w:rPr>
          <w:rFonts w:ascii="Arial" w:eastAsia="Arial" w:hAnsi="Arial" w:cs="Arial"/>
          <w:sz w:val="24"/>
        </w:rPr>
        <w:t>Compare transport mode and tunnel mode in IPSec architecture. Evaluate their effectiveness in securing host-to-host versus network-to-network communication.</w:t>
      </w:r>
      <w:r>
        <w:rPr>
          <w:rFonts w:ascii="Arial" w:eastAsia="Arial" w:hAnsi="Arial" w:cs="Arial"/>
          <w:b/>
          <w:sz w:val="24"/>
        </w:rPr>
        <w:t xml:space="preserve"> </w:t>
      </w:r>
    </w:p>
    <w:p w14:paraId="41F986D0" w14:textId="77777777" w:rsidR="000D0CC2" w:rsidRDefault="00000000">
      <w:pPr>
        <w:spacing w:after="115"/>
        <w:ind w:left="721"/>
      </w:pPr>
      <w:r>
        <w:rPr>
          <w:rFonts w:ascii="Arial" w:eastAsia="Arial" w:hAnsi="Arial" w:cs="Arial"/>
          <w:sz w:val="24"/>
        </w:rPr>
        <w:t xml:space="preserve"> </w:t>
      </w:r>
    </w:p>
    <w:p w14:paraId="1CB5C277" w14:textId="77777777" w:rsidR="000D0CC2" w:rsidRDefault="00000000">
      <w:pPr>
        <w:numPr>
          <w:ilvl w:val="0"/>
          <w:numId w:val="1"/>
        </w:numPr>
        <w:spacing w:after="1" w:line="360" w:lineRule="auto"/>
        <w:ind w:left="705" w:right="59" w:hanging="360"/>
        <w:jc w:val="both"/>
      </w:pPr>
      <w:r>
        <w:rPr>
          <w:rFonts w:ascii="Arial" w:eastAsia="Arial" w:hAnsi="Arial" w:cs="Arial"/>
          <w:sz w:val="24"/>
        </w:rPr>
        <w:t>Perform a comparative analysis of Pretty Good Privacy (PGP) and S/MIME in terms of key management, trust models, scalability, and enterprise usability. Recommend the most suitable approach for a corporate email system.</w:t>
      </w:r>
      <w:r>
        <w:rPr>
          <w:rFonts w:ascii="Arial" w:eastAsia="Arial" w:hAnsi="Arial" w:cs="Arial"/>
          <w:b/>
          <w:sz w:val="24"/>
        </w:rPr>
        <w:t xml:space="preserve"> </w:t>
      </w:r>
    </w:p>
    <w:p w14:paraId="03F20E19" w14:textId="77777777" w:rsidR="000D0CC2" w:rsidRDefault="00000000">
      <w:pPr>
        <w:spacing w:after="115"/>
        <w:ind w:left="721"/>
      </w:pPr>
      <w:r>
        <w:rPr>
          <w:rFonts w:ascii="Arial" w:eastAsia="Arial" w:hAnsi="Arial" w:cs="Arial"/>
          <w:sz w:val="24"/>
        </w:rPr>
        <w:t xml:space="preserve"> </w:t>
      </w:r>
    </w:p>
    <w:p w14:paraId="781397C4" w14:textId="77777777" w:rsidR="000D0CC2" w:rsidRDefault="00000000">
      <w:pPr>
        <w:numPr>
          <w:ilvl w:val="0"/>
          <w:numId w:val="1"/>
        </w:numPr>
        <w:spacing w:after="1" w:line="360" w:lineRule="auto"/>
        <w:ind w:left="705" w:right="59" w:hanging="360"/>
        <w:jc w:val="both"/>
      </w:pPr>
      <w:r>
        <w:rPr>
          <w:rFonts w:ascii="Arial" w:eastAsia="Arial" w:hAnsi="Arial" w:cs="Arial"/>
          <w:sz w:val="24"/>
        </w:rPr>
        <w:t xml:space="preserve">Compare rule-based and machine learning-based email spam detection techniques. </w:t>
      </w:r>
      <w:proofErr w:type="spellStart"/>
      <w:r>
        <w:rPr>
          <w:rFonts w:ascii="Arial" w:eastAsia="Arial" w:hAnsi="Arial" w:cs="Arial"/>
          <w:sz w:val="24"/>
        </w:rPr>
        <w:t>Analyze</w:t>
      </w:r>
      <w:proofErr w:type="spellEnd"/>
      <w:r>
        <w:rPr>
          <w:rFonts w:ascii="Arial" w:eastAsia="Arial" w:hAnsi="Arial" w:cs="Arial"/>
          <w:sz w:val="24"/>
        </w:rPr>
        <w:t xml:space="preserve"> their effectiveness in handling evolving spam patterns and minimizing false positives.</w:t>
      </w:r>
      <w:r>
        <w:rPr>
          <w:rFonts w:ascii="Arial" w:eastAsia="Arial" w:hAnsi="Arial" w:cs="Arial"/>
          <w:b/>
          <w:sz w:val="24"/>
        </w:rPr>
        <w:t xml:space="preserve"> </w:t>
      </w:r>
    </w:p>
    <w:p w14:paraId="22B22D5F" w14:textId="77777777" w:rsidR="000D0CC2" w:rsidRDefault="00000000">
      <w:pPr>
        <w:spacing w:after="115"/>
        <w:ind w:left="721"/>
      </w:pPr>
      <w:r>
        <w:rPr>
          <w:rFonts w:ascii="Arial" w:eastAsia="Arial" w:hAnsi="Arial" w:cs="Arial"/>
          <w:sz w:val="24"/>
        </w:rPr>
        <w:t xml:space="preserve"> </w:t>
      </w:r>
    </w:p>
    <w:p w14:paraId="28835008" w14:textId="77777777" w:rsidR="000D0CC2" w:rsidRDefault="00000000">
      <w:pPr>
        <w:numPr>
          <w:ilvl w:val="0"/>
          <w:numId w:val="1"/>
        </w:numPr>
        <w:spacing w:after="1" w:line="360" w:lineRule="auto"/>
        <w:ind w:left="705" w:right="59" w:hanging="360"/>
        <w:jc w:val="both"/>
      </w:pPr>
      <w:r>
        <w:rPr>
          <w:rFonts w:ascii="Arial" w:eastAsia="Arial" w:hAnsi="Arial" w:cs="Arial"/>
          <w:sz w:val="24"/>
        </w:rPr>
        <w:t>Compare manual key management and automated key management (e.g., using IKE) in IPSec. Evaluate their impact on security, scalability, and operational complexity in large organizations.</w:t>
      </w:r>
      <w:r>
        <w:rPr>
          <w:rFonts w:ascii="Arial" w:eastAsia="Arial" w:hAnsi="Arial" w:cs="Arial"/>
          <w:b/>
          <w:sz w:val="24"/>
        </w:rPr>
        <w:t xml:space="preserve"> </w:t>
      </w:r>
    </w:p>
    <w:p w14:paraId="50A2176D" w14:textId="77777777" w:rsidR="000D0CC2" w:rsidRDefault="00000000">
      <w:pPr>
        <w:spacing w:after="115"/>
        <w:ind w:left="721"/>
      </w:pPr>
      <w:r>
        <w:rPr>
          <w:rFonts w:ascii="Arial" w:eastAsia="Arial" w:hAnsi="Arial" w:cs="Arial"/>
          <w:sz w:val="24"/>
        </w:rPr>
        <w:t xml:space="preserve"> </w:t>
      </w:r>
    </w:p>
    <w:p w14:paraId="7569863D" w14:textId="77777777" w:rsidR="000D0CC2" w:rsidRDefault="00000000">
      <w:pPr>
        <w:spacing w:after="19"/>
      </w:pPr>
      <w:r>
        <w:rPr>
          <w:rFonts w:ascii="Arial" w:eastAsia="Arial" w:hAnsi="Arial" w:cs="Arial"/>
          <w:i/>
          <w:sz w:val="24"/>
        </w:rPr>
        <w:t xml:space="preserve"> </w:t>
      </w:r>
    </w:p>
    <w:p w14:paraId="6C4FC399" w14:textId="77777777" w:rsidR="000D0CC2" w:rsidRDefault="00000000">
      <w:pPr>
        <w:spacing w:after="19"/>
      </w:pPr>
      <w:r>
        <w:rPr>
          <w:rFonts w:ascii="Arial" w:eastAsia="Arial" w:hAnsi="Arial" w:cs="Arial"/>
          <w:b/>
          <w:sz w:val="24"/>
        </w:rPr>
        <w:t xml:space="preserve"> </w:t>
      </w:r>
    </w:p>
    <w:p w14:paraId="4B0FC515" w14:textId="77777777" w:rsidR="000D0CC2" w:rsidRDefault="00000000">
      <w:pPr>
        <w:spacing w:after="24"/>
      </w:pPr>
      <w:r>
        <w:rPr>
          <w:rFonts w:ascii="Arial" w:eastAsia="Arial" w:hAnsi="Arial" w:cs="Arial"/>
          <w:b/>
          <w:sz w:val="24"/>
        </w:rPr>
        <w:t xml:space="preserve"> </w:t>
      </w:r>
    </w:p>
    <w:p w14:paraId="3708A440" w14:textId="77777777" w:rsidR="000D0CC2" w:rsidRDefault="00000000">
      <w:pPr>
        <w:spacing w:after="19"/>
      </w:pPr>
      <w:r>
        <w:rPr>
          <w:rFonts w:ascii="Arial" w:eastAsia="Arial" w:hAnsi="Arial" w:cs="Arial"/>
          <w:b/>
          <w:sz w:val="24"/>
        </w:rPr>
        <w:t xml:space="preserve"> </w:t>
      </w:r>
    </w:p>
    <w:p w14:paraId="6191FB1F" w14:textId="77777777" w:rsidR="000D0CC2" w:rsidRDefault="00000000">
      <w:pPr>
        <w:spacing w:after="19"/>
        <w:rPr>
          <w:rFonts w:ascii="Arial" w:eastAsia="Arial" w:hAnsi="Arial" w:cs="Arial"/>
          <w:b/>
          <w:sz w:val="24"/>
        </w:rPr>
      </w:pPr>
      <w:r>
        <w:rPr>
          <w:rFonts w:ascii="Arial" w:eastAsia="Arial" w:hAnsi="Arial" w:cs="Arial"/>
          <w:b/>
          <w:sz w:val="24"/>
        </w:rPr>
        <w:t xml:space="preserve"> </w:t>
      </w:r>
    </w:p>
    <w:p w14:paraId="071EABCF" w14:textId="77777777" w:rsidR="00C374CC" w:rsidRDefault="00C374CC">
      <w:pPr>
        <w:spacing w:after="19"/>
        <w:rPr>
          <w:rFonts w:ascii="Arial" w:eastAsia="Arial" w:hAnsi="Arial" w:cs="Arial"/>
          <w:b/>
          <w:sz w:val="24"/>
        </w:rPr>
      </w:pPr>
    </w:p>
    <w:p w14:paraId="491BC8F7" w14:textId="77777777" w:rsidR="00C374CC" w:rsidRDefault="00C374CC">
      <w:pPr>
        <w:spacing w:after="19"/>
        <w:rPr>
          <w:rFonts w:ascii="Arial" w:eastAsia="Arial" w:hAnsi="Arial" w:cs="Arial"/>
          <w:b/>
          <w:sz w:val="24"/>
        </w:rPr>
      </w:pPr>
    </w:p>
    <w:p w14:paraId="05E4B3F0" w14:textId="77777777" w:rsidR="00C374CC" w:rsidRDefault="00C374CC">
      <w:pPr>
        <w:spacing w:after="19"/>
        <w:rPr>
          <w:rFonts w:ascii="Arial" w:eastAsia="Arial" w:hAnsi="Arial" w:cs="Arial"/>
          <w:b/>
          <w:sz w:val="24"/>
        </w:rPr>
      </w:pPr>
    </w:p>
    <w:p w14:paraId="3A1B2031" w14:textId="77777777" w:rsidR="00C374CC" w:rsidRDefault="00C374CC">
      <w:pPr>
        <w:spacing w:after="19"/>
        <w:rPr>
          <w:rFonts w:ascii="Arial" w:eastAsia="Arial" w:hAnsi="Arial" w:cs="Arial"/>
          <w:b/>
          <w:sz w:val="24"/>
        </w:rPr>
      </w:pPr>
    </w:p>
    <w:p w14:paraId="736BB7C0" w14:textId="77777777" w:rsidR="00C374CC" w:rsidRDefault="00C374CC">
      <w:pPr>
        <w:spacing w:after="19"/>
        <w:rPr>
          <w:rFonts w:ascii="Arial" w:eastAsia="Arial" w:hAnsi="Arial" w:cs="Arial"/>
          <w:b/>
          <w:sz w:val="24"/>
        </w:rPr>
      </w:pPr>
    </w:p>
    <w:p w14:paraId="5C189913" w14:textId="77777777" w:rsidR="00C374CC" w:rsidRDefault="00C374CC">
      <w:pPr>
        <w:spacing w:after="19"/>
        <w:rPr>
          <w:rFonts w:ascii="Arial" w:eastAsia="Arial" w:hAnsi="Arial" w:cs="Arial"/>
          <w:b/>
          <w:sz w:val="24"/>
        </w:rPr>
      </w:pPr>
    </w:p>
    <w:p w14:paraId="660F18DB" w14:textId="77777777" w:rsidR="00C374CC" w:rsidRDefault="00C374CC">
      <w:pPr>
        <w:spacing w:after="19"/>
        <w:rPr>
          <w:rFonts w:ascii="Arial" w:eastAsia="Arial" w:hAnsi="Arial" w:cs="Arial"/>
          <w:b/>
          <w:sz w:val="24"/>
        </w:rPr>
      </w:pPr>
    </w:p>
    <w:p w14:paraId="70D7EF86" w14:textId="77777777" w:rsidR="00C374CC" w:rsidRPr="00C374CC" w:rsidRDefault="00C374CC">
      <w:pPr>
        <w:spacing w:after="19"/>
        <w:rPr>
          <w:sz w:val="36"/>
          <w:szCs w:val="40"/>
        </w:rPr>
      </w:pPr>
    </w:p>
    <w:p w14:paraId="385BC63A" w14:textId="3CC56833" w:rsidR="000D0CC2" w:rsidRPr="00C374CC" w:rsidRDefault="00000000">
      <w:pPr>
        <w:spacing w:after="19"/>
        <w:rPr>
          <w:sz w:val="36"/>
          <w:szCs w:val="40"/>
        </w:rPr>
      </w:pPr>
      <w:r w:rsidRPr="00C374CC">
        <w:rPr>
          <w:rFonts w:ascii="Arial" w:eastAsia="Arial" w:hAnsi="Arial" w:cs="Arial"/>
          <w:b/>
          <w:sz w:val="40"/>
          <w:szCs w:val="40"/>
        </w:rPr>
        <w:lastRenderedPageBreak/>
        <w:t xml:space="preserve"> </w:t>
      </w:r>
      <w:r w:rsidR="00C374CC" w:rsidRPr="00C374CC">
        <w:rPr>
          <w:rFonts w:ascii="Arial" w:eastAsia="Arial" w:hAnsi="Arial" w:cs="Arial"/>
          <w:b/>
          <w:sz w:val="40"/>
          <w:szCs w:val="40"/>
        </w:rPr>
        <w:t>ANSWER:</w:t>
      </w:r>
    </w:p>
    <w:p w14:paraId="33D0837A" w14:textId="77777777" w:rsidR="000D0CC2" w:rsidRDefault="00000000">
      <w:pPr>
        <w:spacing w:after="19"/>
      </w:pPr>
      <w:r>
        <w:rPr>
          <w:rFonts w:ascii="Arial" w:eastAsia="Arial" w:hAnsi="Arial" w:cs="Arial"/>
          <w:b/>
          <w:sz w:val="24"/>
        </w:rPr>
        <w:t xml:space="preserve"> </w:t>
      </w:r>
    </w:p>
    <w:p w14:paraId="6150A214" w14:textId="77777777" w:rsidR="000D0CC2" w:rsidRDefault="00000000">
      <w:pPr>
        <w:spacing w:after="19"/>
      </w:pPr>
      <w:r>
        <w:rPr>
          <w:rFonts w:ascii="Arial" w:eastAsia="Arial" w:hAnsi="Arial" w:cs="Arial"/>
          <w:b/>
          <w:sz w:val="24"/>
        </w:rPr>
        <w:t xml:space="preserve"> </w:t>
      </w:r>
    </w:p>
    <w:p w14:paraId="59B00A30" w14:textId="77777777" w:rsidR="00C374CC" w:rsidRPr="00C374CC" w:rsidRDefault="00000000" w:rsidP="00C374CC">
      <w:pPr>
        <w:spacing w:after="19"/>
      </w:pPr>
      <w:r>
        <w:rPr>
          <w:rFonts w:ascii="Arial" w:eastAsia="Arial" w:hAnsi="Arial" w:cs="Arial"/>
          <w:b/>
          <w:sz w:val="24"/>
        </w:rPr>
        <w:t xml:space="preserve"> </w:t>
      </w:r>
      <w:r w:rsidR="00C374CC" w:rsidRPr="00C374CC">
        <w:t>Question 1</w:t>
      </w:r>
    </w:p>
    <w:p w14:paraId="0886D161"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Security Services Comparison</w:t>
      </w:r>
    </w:p>
    <w:tbl>
      <w:tblPr>
        <w:tblW w:w="9350" w:type="dxa"/>
        <w:tblBorders>
          <w:top w:val="single" w:sz="4" w:space="0" w:color="C0C0C0"/>
          <w:left w:val="single" w:sz="4" w:space="0" w:color="C0C0C0"/>
          <w:bottom w:val="single" w:sz="4" w:space="0" w:color="C0C0C0"/>
          <w:right w:val="single" w:sz="4" w:space="0" w:color="C0C0C0"/>
          <w:insideH w:val="single" w:sz="2" w:space="0" w:color="D8D8D8"/>
          <w:insideV w:val="single" w:sz="2" w:space="0" w:color="D8D8D8"/>
        </w:tblBorders>
        <w:tblCellMar>
          <w:left w:w="10" w:type="dxa"/>
          <w:right w:w="10" w:type="dxa"/>
        </w:tblCellMar>
        <w:tblLook w:val="04A0" w:firstRow="1" w:lastRow="0" w:firstColumn="1" w:lastColumn="0" w:noHBand="0" w:noVBand="1"/>
      </w:tblPr>
      <w:tblGrid>
        <w:gridCol w:w="2600"/>
        <w:gridCol w:w="3400"/>
        <w:gridCol w:w="3350"/>
      </w:tblGrid>
      <w:tr w:rsidR="00C374CC" w:rsidRPr="00C374CC" w14:paraId="569FBF5D" w14:textId="77777777">
        <w:trPr>
          <w:tblHeader/>
        </w:trPr>
        <w:tc>
          <w:tcPr>
            <w:tcW w:w="2600" w:type="dxa"/>
            <w:tcBorders>
              <w:top w:val="single" w:sz="4" w:space="0" w:color="C0C0C0"/>
              <w:left w:val="single" w:sz="4" w:space="0" w:color="C0C0C0"/>
              <w:bottom w:val="single" w:sz="2" w:space="0" w:color="D8D8D8"/>
              <w:right w:val="single" w:sz="2" w:space="0" w:color="D8D8D8"/>
            </w:tcBorders>
            <w:shd w:val="clear" w:color="auto" w:fill="1B2A41"/>
            <w:tcMar>
              <w:top w:w="100" w:type="dxa"/>
              <w:left w:w="120" w:type="dxa"/>
              <w:bottom w:w="100" w:type="dxa"/>
              <w:right w:w="120" w:type="dxa"/>
            </w:tcMar>
            <w:vAlign w:val="center"/>
            <w:hideMark/>
          </w:tcPr>
          <w:p w14:paraId="371B39AD" w14:textId="77777777" w:rsidR="00C374CC" w:rsidRPr="00C374CC" w:rsidRDefault="00C374CC" w:rsidP="00C374CC">
            <w:pPr>
              <w:spacing w:after="19"/>
              <w:rPr>
                <w:rFonts w:ascii="Arial" w:eastAsia="Arial" w:hAnsi="Arial" w:cs="Arial"/>
                <w:sz w:val="24"/>
              </w:rPr>
            </w:pPr>
            <w:r w:rsidRPr="00C374CC">
              <w:rPr>
                <w:rFonts w:ascii="Arial" w:eastAsia="Arial" w:hAnsi="Arial" w:cs="Arial"/>
                <w:color w:val="F2F2F2" w:themeColor="background1" w:themeShade="F2"/>
                <w:sz w:val="24"/>
              </w:rPr>
              <w:t>Security Service</w:t>
            </w:r>
          </w:p>
        </w:tc>
        <w:tc>
          <w:tcPr>
            <w:tcW w:w="3400" w:type="dxa"/>
            <w:tcBorders>
              <w:top w:val="single" w:sz="4" w:space="0" w:color="C0C0C0"/>
              <w:left w:val="single" w:sz="2" w:space="0" w:color="D8D8D8"/>
              <w:bottom w:val="single" w:sz="2" w:space="0" w:color="D8D8D8"/>
              <w:right w:val="single" w:sz="2" w:space="0" w:color="D8D8D8"/>
            </w:tcBorders>
            <w:shd w:val="clear" w:color="auto" w:fill="1B2A41"/>
            <w:tcMar>
              <w:top w:w="100" w:type="dxa"/>
              <w:left w:w="120" w:type="dxa"/>
              <w:bottom w:w="100" w:type="dxa"/>
              <w:right w:w="120" w:type="dxa"/>
            </w:tcMar>
            <w:vAlign w:val="center"/>
            <w:hideMark/>
          </w:tcPr>
          <w:p w14:paraId="2A80679C" w14:textId="77777777" w:rsidR="00C374CC" w:rsidRPr="00C374CC" w:rsidRDefault="00C374CC" w:rsidP="00C374CC">
            <w:pPr>
              <w:spacing w:after="19"/>
              <w:rPr>
                <w:rFonts w:ascii="Arial" w:eastAsia="Arial" w:hAnsi="Arial" w:cs="Arial"/>
                <w:sz w:val="24"/>
              </w:rPr>
            </w:pPr>
            <w:r w:rsidRPr="00C374CC">
              <w:rPr>
                <w:rFonts w:ascii="Arial" w:eastAsia="Arial" w:hAnsi="Arial" w:cs="Arial"/>
                <w:color w:val="F2F2F2" w:themeColor="background1" w:themeShade="F2"/>
                <w:sz w:val="24"/>
              </w:rPr>
              <w:t>AH</w:t>
            </w:r>
          </w:p>
        </w:tc>
        <w:tc>
          <w:tcPr>
            <w:tcW w:w="3350" w:type="dxa"/>
            <w:tcBorders>
              <w:top w:val="single" w:sz="4" w:space="0" w:color="C0C0C0"/>
              <w:left w:val="single" w:sz="2" w:space="0" w:color="D8D8D8"/>
              <w:bottom w:val="single" w:sz="2" w:space="0" w:color="D8D8D8"/>
              <w:right w:val="single" w:sz="4" w:space="0" w:color="C0C0C0"/>
            </w:tcBorders>
            <w:shd w:val="clear" w:color="auto" w:fill="1B2A41"/>
            <w:tcMar>
              <w:top w:w="100" w:type="dxa"/>
              <w:left w:w="120" w:type="dxa"/>
              <w:bottom w:w="100" w:type="dxa"/>
              <w:right w:w="120" w:type="dxa"/>
            </w:tcMar>
            <w:vAlign w:val="center"/>
            <w:hideMark/>
          </w:tcPr>
          <w:p w14:paraId="1B138345" w14:textId="77777777" w:rsidR="00C374CC" w:rsidRPr="00C374CC" w:rsidRDefault="00C374CC" w:rsidP="00C374CC">
            <w:pPr>
              <w:spacing w:after="19"/>
              <w:rPr>
                <w:rFonts w:ascii="Arial" w:eastAsia="Arial" w:hAnsi="Arial" w:cs="Arial"/>
                <w:sz w:val="24"/>
              </w:rPr>
            </w:pPr>
            <w:r w:rsidRPr="00C374CC">
              <w:rPr>
                <w:rFonts w:ascii="Arial" w:eastAsia="Arial" w:hAnsi="Arial" w:cs="Arial"/>
                <w:color w:val="F2F2F2" w:themeColor="background1" w:themeShade="F2"/>
                <w:sz w:val="24"/>
              </w:rPr>
              <w:t>ESP</w:t>
            </w:r>
          </w:p>
        </w:tc>
      </w:tr>
      <w:tr w:rsidR="00C374CC" w:rsidRPr="00C374CC" w14:paraId="5F94F309" w14:textId="77777777">
        <w:tc>
          <w:tcPr>
            <w:tcW w:w="2600"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497D2FB2"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Data-origin authentication</w:t>
            </w:r>
          </w:p>
        </w:tc>
        <w:tc>
          <w:tcPr>
            <w:tcW w:w="3400"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629BA27E"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Yes — over the entire IP packet, including the outer IP header (except mutable fields)</w:t>
            </w:r>
          </w:p>
        </w:tc>
        <w:tc>
          <w:tcPr>
            <w:tcW w:w="3350"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07B5AC05"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Yes — but only over the ESP payload, not the outer IP header</w:t>
            </w:r>
          </w:p>
        </w:tc>
      </w:tr>
      <w:tr w:rsidR="00C374CC" w:rsidRPr="00C374CC" w14:paraId="777FC83F" w14:textId="77777777">
        <w:tc>
          <w:tcPr>
            <w:tcW w:w="2600" w:type="dxa"/>
            <w:tcBorders>
              <w:top w:val="single" w:sz="2" w:space="0" w:color="D8D8D8"/>
              <w:left w:val="single" w:sz="4" w:space="0" w:color="C0C0C0"/>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703C9B73"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Connectionless integrity</w:t>
            </w:r>
          </w:p>
        </w:tc>
        <w:tc>
          <w:tcPr>
            <w:tcW w:w="3400" w:type="dxa"/>
            <w:tcBorders>
              <w:top w:val="single" w:sz="2" w:space="0" w:color="D8D8D8"/>
              <w:left w:val="single" w:sz="2" w:space="0" w:color="D8D8D8"/>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60247C4B"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Yes</w:t>
            </w:r>
          </w:p>
        </w:tc>
        <w:tc>
          <w:tcPr>
            <w:tcW w:w="3350" w:type="dxa"/>
            <w:tcBorders>
              <w:top w:val="single" w:sz="2" w:space="0" w:color="D8D8D8"/>
              <w:left w:val="single" w:sz="2" w:space="0" w:color="D8D8D8"/>
              <w:bottom w:val="single" w:sz="2" w:space="0" w:color="D8D8D8"/>
              <w:right w:val="single" w:sz="4" w:space="0" w:color="C0C0C0"/>
            </w:tcBorders>
            <w:shd w:val="clear" w:color="auto" w:fill="FFFFFF"/>
            <w:tcMar>
              <w:top w:w="90" w:type="dxa"/>
              <w:left w:w="120" w:type="dxa"/>
              <w:bottom w:w="90" w:type="dxa"/>
              <w:right w:w="120" w:type="dxa"/>
            </w:tcMar>
            <w:vAlign w:val="center"/>
            <w:hideMark/>
          </w:tcPr>
          <w:p w14:paraId="72C12A47"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Yes (when authentication is enabled, e.g., ESP-Auth / AES-GCM)</w:t>
            </w:r>
          </w:p>
        </w:tc>
      </w:tr>
      <w:tr w:rsidR="00C374CC" w:rsidRPr="00C374CC" w14:paraId="7A1C998E" w14:textId="77777777">
        <w:tc>
          <w:tcPr>
            <w:tcW w:w="2600"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7C320CCC"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Confidentiality (encryption)</w:t>
            </w:r>
          </w:p>
        </w:tc>
        <w:tc>
          <w:tcPr>
            <w:tcW w:w="3400"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2721EE50"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No</w:t>
            </w:r>
          </w:p>
        </w:tc>
        <w:tc>
          <w:tcPr>
            <w:tcW w:w="3350"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5BC044CF"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Yes — this is ESP's defining feature</w:t>
            </w:r>
          </w:p>
        </w:tc>
      </w:tr>
      <w:tr w:rsidR="00C374CC" w:rsidRPr="00C374CC" w14:paraId="5600FADB" w14:textId="77777777">
        <w:tc>
          <w:tcPr>
            <w:tcW w:w="2600" w:type="dxa"/>
            <w:tcBorders>
              <w:top w:val="single" w:sz="2" w:space="0" w:color="D8D8D8"/>
              <w:left w:val="single" w:sz="4" w:space="0" w:color="C0C0C0"/>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363BCD0E"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Anti-replay protection</w:t>
            </w:r>
          </w:p>
        </w:tc>
        <w:tc>
          <w:tcPr>
            <w:tcW w:w="3400" w:type="dxa"/>
            <w:tcBorders>
              <w:top w:val="single" w:sz="2" w:space="0" w:color="D8D8D8"/>
              <w:left w:val="single" w:sz="2" w:space="0" w:color="D8D8D8"/>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2F365E4A"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Yes (sequence number)</w:t>
            </w:r>
          </w:p>
        </w:tc>
        <w:tc>
          <w:tcPr>
            <w:tcW w:w="3350" w:type="dxa"/>
            <w:tcBorders>
              <w:top w:val="single" w:sz="2" w:space="0" w:color="D8D8D8"/>
              <w:left w:val="single" w:sz="2" w:space="0" w:color="D8D8D8"/>
              <w:bottom w:val="single" w:sz="2" w:space="0" w:color="D8D8D8"/>
              <w:right w:val="single" w:sz="4" w:space="0" w:color="C0C0C0"/>
            </w:tcBorders>
            <w:shd w:val="clear" w:color="auto" w:fill="FFFFFF"/>
            <w:tcMar>
              <w:top w:w="90" w:type="dxa"/>
              <w:left w:w="120" w:type="dxa"/>
              <w:bottom w:w="90" w:type="dxa"/>
              <w:right w:w="120" w:type="dxa"/>
            </w:tcMar>
            <w:vAlign w:val="center"/>
            <w:hideMark/>
          </w:tcPr>
          <w:p w14:paraId="53CC0C4E"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Yes (sequence number)</w:t>
            </w:r>
          </w:p>
        </w:tc>
      </w:tr>
      <w:tr w:rsidR="00C374CC" w:rsidRPr="00C374CC" w14:paraId="6D376626" w14:textId="77777777">
        <w:tc>
          <w:tcPr>
            <w:tcW w:w="2600"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7EA47A52"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Protection of outer IP header fields</w:t>
            </w:r>
          </w:p>
        </w:tc>
        <w:tc>
          <w:tcPr>
            <w:tcW w:w="3400"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06F5A908"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Yes</w:t>
            </w:r>
          </w:p>
        </w:tc>
        <w:tc>
          <w:tcPr>
            <w:tcW w:w="3350"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19625A85"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No — only the encapsulated payload is protected</w:t>
            </w:r>
          </w:p>
        </w:tc>
      </w:tr>
      <w:tr w:rsidR="00C374CC" w:rsidRPr="00C374CC" w14:paraId="3A4AF743" w14:textId="77777777">
        <w:tc>
          <w:tcPr>
            <w:tcW w:w="2600" w:type="dxa"/>
            <w:tcBorders>
              <w:top w:val="single" w:sz="2" w:space="0" w:color="D8D8D8"/>
              <w:left w:val="single" w:sz="4" w:space="0" w:color="C0C0C0"/>
              <w:bottom w:val="single" w:sz="4" w:space="0" w:color="C0C0C0"/>
              <w:right w:val="single" w:sz="2" w:space="0" w:color="D8D8D8"/>
            </w:tcBorders>
            <w:shd w:val="clear" w:color="auto" w:fill="FFFFFF"/>
            <w:tcMar>
              <w:top w:w="90" w:type="dxa"/>
              <w:left w:w="120" w:type="dxa"/>
              <w:bottom w:w="90" w:type="dxa"/>
              <w:right w:w="120" w:type="dxa"/>
            </w:tcMar>
            <w:vAlign w:val="center"/>
            <w:hideMark/>
          </w:tcPr>
          <w:p w14:paraId="0156A4BD"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NAT compatibility</w:t>
            </w:r>
          </w:p>
        </w:tc>
        <w:tc>
          <w:tcPr>
            <w:tcW w:w="3400" w:type="dxa"/>
            <w:tcBorders>
              <w:top w:val="single" w:sz="2" w:space="0" w:color="D8D8D8"/>
              <w:left w:val="single" w:sz="2" w:space="0" w:color="D8D8D8"/>
              <w:bottom w:val="single" w:sz="4" w:space="0" w:color="C0C0C0"/>
              <w:right w:val="single" w:sz="2" w:space="0" w:color="D8D8D8"/>
            </w:tcBorders>
            <w:shd w:val="clear" w:color="auto" w:fill="FFFFFF"/>
            <w:tcMar>
              <w:top w:w="90" w:type="dxa"/>
              <w:left w:w="120" w:type="dxa"/>
              <w:bottom w:w="90" w:type="dxa"/>
              <w:right w:w="120" w:type="dxa"/>
            </w:tcMar>
            <w:vAlign w:val="center"/>
            <w:hideMark/>
          </w:tcPr>
          <w:p w14:paraId="73FA8D8C"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Poor — NAT rewriting the IP header breaks AH's header-integrity check</w:t>
            </w:r>
          </w:p>
        </w:tc>
        <w:tc>
          <w:tcPr>
            <w:tcW w:w="3350" w:type="dxa"/>
            <w:tcBorders>
              <w:top w:val="single" w:sz="2" w:space="0" w:color="D8D8D8"/>
              <w:left w:val="single" w:sz="2" w:space="0" w:color="D8D8D8"/>
              <w:bottom w:val="single" w:sz="4" w:space="0" w:color="C0C0C0"/>
              <w:right w:val="single" w:sz="4" w:space="0" w:color="C0C0C0"/>
            </w:tcBorders>
            <w:shd w:val="clear" w:color="auto" w:fill="FFFFFF"/>
            <w:tcMar>
              <w:top w:w="90" w:type="dxa"/>
              <w:left w:w="120" w:type="dxa"/>
              <w:bottom w:w="90" w:type="dxa"/>
              <w:right w:w="120" w:type="dxa"/>
            </w:tcMar>
            <w:vAlign w:val="center"/>
            <w:hideMark/>
          </w:tcPr>
          <w:p w14:paraId="6E15181D"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Good — especially with NAT-Traversal (NAT-T) encapsulation in UDP</w:t>
            </w:r>
          </w:p>
        </w:tc>
      </w:tr>
    </w:tbl>
    <w:p w14:paraId="68FCA060"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Performance Overhead Comparison</w:t>
      </w:r>
    </w:p>
    <w:tbl>
      <w:tblPr>
        <w:tblW w:w="9350" w:type="dxa"/>
        <w:tblBorders>
          <w:top w:val="single" w:sz="4" w:space="0" w:color="C0C0C0"/>
          <w:left w:val="single" w:sz="4" w:space="0" w:color="C0C0C0"/>
          <w:bottom w:val="single" w:sz="4" w:space="0" w:color="C0C0C0"/>
          <w:right w:val="single" w:sz="4" w:space="0" w:color="C0C0C0"/>
          <w:insideH w:val="single" w:sz="2" w:space="0" w:color="D8D8D8"/>
          <w:insideV w:val="single" w:sz="2" w:space="0" w:color="D8D8D8"/>
        </w:tblBorders>
        <w:tblCellMar>
          <w:left w:w="10" w:type="dxa"/>
          <w:right w:w="10" w:type="dxa"/>
        </w:tblCellMar>
        <w:tblLook w:val="04A0" w:firstRow="1" w:lastRow="0" w:firstColumn="1" w:lastColumn="0" w:noHBand="0" w:noVBand="1"/>
      </w:tblPr>
      <w:tblGrid>
        <w:gridCol w:w="2600"/>
        <w:gridCol w:w="3300"/>
        <w:gridCol w:w="3450"/>
      </w:tblGrid>
      <w:tr w:rsidR="00C374CC" w:rsidRPr="00C374CC" w14:paraId="316B3B28" w14:textId="77777777">
        <w:trPr>
          <w:tblHeader/>
        </w:trPr>
        <w:tc>
          <w:tcPr>
            <w:tcW w:w="2600" w:type="dxa"/>
            <w:tcBorders>
              <w:top w:val="single" w:sz="4" w:space="0" w:color="C0C0C0"/>
              <w:left w:val="single" w:sz="4" w:space="0" w:color="C0C0C0"/>
              <w:bottom w:val="single" w:sz="2" w:space="0" w:color="D8D8D8"/>
              <w:right w:val="single" w:sz="2" w:space="0" w:color="D8D8D8"/>
            </w:tcBorders>
            <w:shd w:val="clear" w:color="auto" w:fill="1B2A41"/>
            <w:tcMar>
              <w:top w:w="100" w:type="dxa"/>
              <w:left w:w="120" w:type="dxa"/>
              <w:bottom w:w="100" w:type="dxa"/>
              <w:right w:w="120" w:type="dxa"/>
            </w:tcMar>
            <w:vAlign w:val="center"/>
            <w:hideMark/>
          </w:tcPr>
          <w:p w14:paraId="3EA17750" w14:textId="77777777" w:rsidR="00C374CC" w:rsidRPr="00C374CC" w:rsidRDefault="00C374CC" w:rsidP="00C374CC">
            <w:pPr>
              <w:spacing w:after="19"/>
              <w:rPr>
                <w:rFonts w:ascii="Arial" w:eastAsia="Arial" w:hAnsi="Arial" w:cs="Arial"/>
                <w:sz w:val="24"/>
              </w:rPr>
            </w:pPr>
            <w:r w:rsidRPr="00C374CC">
              <w:rPr>
                <w:rFonts w:ascii="Arial" w:eastAsia="Arial" w:hAnsi="Arial" w:cs="Arial"/>
                <w:color w:val="F2F2F2" w:themeColor="background1" w:themeShade="F2"/>
                <w:sz w:val="24"/>
              </w:rPr>
              <w:t>Factor</w:t>
            </w:r>
          </w:p>
        </w:tc>
        <w:tc>
          <w:tcPr>
            <w:tcW w:w="3300" w:type="dxa"/>
            <w:tcBorders>
              <w:top w:val="single" w:sz="4" w:space="0" w:color="C0C0C0"/>
              <w:left w:val="single" w:sz="2" w:space="0" w:color="D8D8D8"/>
              <w:bottom w:val="single" w:sz="2" w:space="0" w:color="D8D8D8"/>
              <w:right w:val="single" w:sz="2" w:space="0" w:color="D8D8D8"/>
            </w:tcBorders>
            <w:shd w:val="clear" w:color="auto" w:fill="1B2A41"/>
            <w:tcMar>
              <w:top w:w="100" w:type="dxa"/>
              <w:left w:w="120" w:type="dxa"/>
              <w:bottom w:w="100" w:type="dxa"/>
              <w:right w:w="120" w:type="dxa"/>
            </w:tcMar>
            <w:vAlign w:val="center"/>
            <w:hideMark/>
          </w:tcPr>
          <w:p w14:paraId="536B1C3E" w14:textId="77777777" w:rsidR="00C374CC" w:rsidRPr="00C374CC" w:rsidRDefault="00C374CC" w:rsidP="00C374CC">
            <w:pPr>
              <w:spacing w:after="19"/>
              <w:rPr>
                <w:rFonts w:ascii="Arial" w:eastAsia="Arial" w:hAnsi="Arial" w:cs="Arial"/>
                <w:sz w:val="24"/>
              </w:rPr>
            </w:pPr>
            <w:r w:rsidRPr="00C374CC">
              <w:rPr>
                <w:rFonts w:ascii="Arial" w:eastAsia="Arial" w:hAnsi="Arial" w:cs="Arial"/>
                <w:color w:val="F2F2F2" w:themeColor="background1" w:themeShade="F2"/>
                <w:sz w:val="24"/>
              </w:rPr>
              <w:t>AH</w:t>
            </w:r>
          </w:p>
        </w:tc>
        <w:tc>
          <w:tcPr>
            <w:tcW w:w="3450" w:type="dxa"/>
            <w:tcBorders>
              <w:top w:val="single" w:sz="4" w:space="0" w:color="C0C0C0"/>
              <w:left w:val="single" w:sz="2" w:space="0" w:color="D8D8D8"/>
              <w:bottom w:val="single" w:sz="2" w:space="0" w:color="D8D8D8"/>
              <w:right w:val="single" w:sz="4" w:space="0" w:color="C0C0C0"/>
            </w:tcBorders>
            <w:shd w:val="clear" w:color="auto" w:fill="1B2A41"/>
            <w:tcMar>
              <w:top w:w="100" w:type="dxa"/>
              <w:left w:w="120" w:type="dxa"/>
              <w:bottom w:w="100" w:type="dxa"/>
              <w:right w:w="120" w:type="dxa"/>
            </w:tcMar>
            <w:vAlign w:val="center"/>
            <w:hideMark/>
          </w:tcPr>
          <w:p w14:paraId="4F274ABE" w14:textId="77777777" w:rsidR="00C374CC" w:rsidRPr="00C374CC" w:rsidRDefault="00C374CC" w:rsidP="00C374CC">
            <w:pPr>
              <w:spacing w:after="19"/>
              <w:rPr>
                <w:rFonts w:ascii="Arial" w:eastAsia="Arial" w:hAnsi="Arial" w:cs="Arial"/>
                <w:sz w:val="24"/>
              </w:rPr>
            </w:pPr>
            <w:r w:rsidRPr="00C374CC">
              <w:rPr>
                <w:rFonts w:ascii="Arial" w:eastAsia="Arial" w:hAnsi="Arial" w:cs="Arial"/>
                <w:color w:val="F2F2F2" w:themeColor="background1" w:themeShade="F2"/>
                <w:sz w:val="24"/>
              </w:rPr>
              <w:t>ESP</w:t>
            </w:r>
          </w:p>
        </w:tc>
      </w:tr>
      <w:tr w:rsidR="00C374CC" w:rsidRPr="00C374CC" w14:paraId="0A08ECFE" w14:textId="77777777">
        <w:tc>
          <w:tcPr>
            <w:tcW w:w="2600"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79C94917"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Cryptographic operations per packet</w:t>
            </w:r>
          </w:p>
        </w:tc>
        <w:tc>
          <w:tcPr>
            <w:tcW w:w="3300"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3A05F636"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One hash/HMAC computation</w:t>
            </w:r>
          </w:p>
        </w:tc>
        <w:tc>
          <w:tcPr>
            <w:tcW w:w="3450"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11C33D07"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One encryption operation, plus one HMAC computation if ESP-Auth is used (or a single AEAD pass with AES-GCM)</w:t>
            </w:r>
          </w:p>
        </w:tc>
      </w:tr>
      <w:tr w:rsidR="00C374CC" w:rsidRPr="00C374CC" w14:paraId="61C82556" w14:textId="77777777">
        <w:tc>
          <w:tcPr>
            <w:tcW w:w="2600" w:type="dxa"/>
            <w:tcBorders>
              <w:top w:val="single" w:sz="2" w:space="0" w:color="D8D8D8"/>
              <w:left w:val="single" w:sz="4" w:space="0" w:color="C0C0C0"/>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13788FA3"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Header overhead</w:t>
            </w:r>
          </w:p>
        </w:tc>
        <w:tc>
          <w:tcPr>
            <w:tcW w:w="3300" w:type="dxa"/>
            <w:tcBorders>
              <w:top w:val="single" w:sz="2" w:space="0" w:color="D8D8D8"/>
              <w:left w:val="single" w:sz="2" w:space="0" w:color="D8D8D8"/>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132B1F02"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Adds an AH header (~24 bytes for HMAC-SHA-256 variant)</w:t>
            </w:r>
          </w:p>
        </w:tc>
        <w:tc>
          <w:tcPr>
            <w:tcW w:w="3450" w:type="dxa"/>
            <w:tcBorders>
              <w:top w:val="single" w:sz="2" w:space="0" w:color="D8D8D8"/>
              <w:left w:val="single" w:sz="2" w:space="0" w:color="D8D8D8"/>
              <w:bottom w:val="single" w:sz="2" w:space="0" w:color="D8D8D8"/>
              <w:right w:val="single" w:sz="4" w:space="0" w:color="C0C0C0"/>
            </w:tcBorders>
            <w:shd w:val="clear" w:color="auto" w:fill="FFFFFF"/>
            <w:tcMar>
              <w:top w:w="90" w:type="dxa"/>
              <w:left w:w="120" w:type="dxa"/>
              <w:bottom w:w="90" w:type="dxa"/>
              <w:right w:w="120" w:type="dxa"/>
            </w:tcMar>
            <w:vAlign w:val="center"/>
            <w:hideMark/>
          </w:tcPr>
          <w:p w14:paraId="78514B71"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Adds an ESP header/trailer plus padding for block-cipher alignment; generally larger than AH alone</w:t>
            </w:r>
          </w:p>
        </w:tc>
      </w:tr>
      <w:tr w:rsidR="00C374CC" w:rsidRPr="00C374CC" w14:paraId="6B3A1BED" w14:textId="77777777">
        <w:tc>
          <w:tcPr>
            <w:tcW w:w="2600"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564D34AD"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CPU cost</w:t>
            </w:r>
          </w:p>
        </w:tc>
        <w:tc>
          <w:tcPr>
            <w:tcW w:w="3300"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6AEAA1EB"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Lower than ESP with encryption, since no cipher operation is needed</w:t>
            </w:r>
          </w:p>
        </w:tc>
        <w:tc>
          <w:tcPr>
            <w:tcW w:w="3450"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4652A2BE"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Higher due to encryption, though AES-NI hardware acceleration largely closes this gap</w:t>
            </w:r>
          </w:p>
        </w:tc>
      </w:tr>
      <w:tr w:rsidR="00C374CC" w:rsidRPr="00C374CC" w14:paraId="7B01B8BA" w14:textId="77777777">
        <w:tc>
          <w:tcPr>
            <w:tcW w:w="2600" w:type="dxa"/>
            <w:tcBorders>
              <w:top w:val="single" w:sz="2" w:space="0" w:color="D8D8D8"/>
              <w:left w:val="single" w:sz="4" w:space="0" w:color="C0C0C0"/>
              <w:bottom w:val="single" w:sz="4" w:space="0" w:color="C0C0C0"/>
              <w:right w:val="single" w:sz="2" w:space="0" w:color="D8D8D8"/>
            </w:tcBorders>
            <w:shd w:val="clear" w:color="auto" w:fill="FFFFFF"/>
            <w:tcMar>
              <w:top w:w="90" w:type="dxa"/>
              <w:left w:w="120" w:type="dxa"/>
              <w:bottom w:w="90" w:type="dxa"/>
              <w:right w:w="120" w:type="dxa"/>
            </w:tcMar>
            <w:vAlign w:val="center"/>
            <w:hideMark/>
          </w:tcPr>
          <w:p w14:paraId="2F4E4930"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lastRenderedPageBreak/>
              <w:t>Suitability for high-throughput links</w:t>
            </w:r>
          </w:p>
        </w:tc>
        <w:tc>
          <w:tcPr>
            <w:tcW w:w="3300" w:type="dxa"/>
            <w:tcBorders>
              <w:top w:val="single" w:sz="2" w:space="0" w:color="D8D8D8"/>
              <w:left w:val="single" w:sz="2" w:space="0" w:color="D8D8D8"/>
              <w:bottom w:val="single" w:sz="4" w:space="0" w:color="C0C0C0"/>
              <w:right w:val="single" w:sz="2" w:space="0" w:color="D8D8D8"/>
            </w:tcBorders>
            <w:shd w:val="clear" w:color="auto" w:fill="FFFFFF"/>
            <w:tcMar>
              <w:top w:w="90" w:type="dxa"/>
              <w:left w:w="120" w:type="dxa"/>
              <w:bottom w:w="90" w:type="dxa"/>
              <w:right w:w="120" w:type="dxa"/>
            </w:tcMar>
            <w:vAlign w:val="center"/>
            <w:hideMark/>
          </w:tcPr>
          <w:p w14:paraId="695A741A"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Lower overhead makes it attractive purely for integrity-only links</w:t>
            </w:r>
          </w:p>
        </w:tc>
        <w:tc>
          <w:tcPr>
            <w:tcW w:w="3450" w:type="dxa"/>
            <w:tcBorders>
              <w:top w:val="single" w:sz="2" w:space="0" w:color="D8D8D8"/>
              <w:left w:val="single" w:sz="2" w:space="0" w:color="D8D8D8"/>
              <w:bottom w:val="single" w:sz="4" w:space="0" w:color="C0C0C0"/>
              <w:right w:val="single" w:sz="4" w:space="0" w:color="C0C0C0"/>
            </w:tcBorders>
            <w:shd w:val="clear" w:color="auto" w:fill="FFFFFF"/>
            <w:tcMar>
              <w:top w:w="90" w:type="dxa"/>
              <w:left w:w="120" w:type="dxa"/>
              <w:bottom w:w="90" w:type="dxa"/>
              <w:right w:w="120" w:type="dxa"/>
            </w:tcMar>
            <w:vAlign w:val="center"/>
            <w:hideMark/>
          </w:tcPr>
          <w:p w14:paraId="4E24F617"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Slightly higher overhead, but AEAD ciphers (AES-GCM) make this negligible on modern hardware</w:t>
            </w:r>
          </w:p>
        </w:tc>
      </w:tr>
    </w:tbl>
    <w:p w14:paraId="0C18B8C0"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Suitability for Different Network Scenarios</w:t>
      </w:r>
    </w:p>
    <w:p w14:paraId="2B7456EC" w14:textId="77777777" w:rsidR="00C374CC" w:rsidRPr="00C374CC" w:rsidRDefault="00C374CC" w:rsidP="00C374CC">
      <w:pPr>
        <w:numPr>
          <w:ilvl w:val="0"/>
          <w:numId w:val="2"/>
        </w:numPr>
        <w:spacing w:after="19"/>
        <w:rPr>
          <w:rFonts w:ascii="Arial" w:eastAsia="Arial" w:hAnsi="Arial" w:cs="Arial"/>
          <w:sz w:val="24"/>
        </w:rPr>
      </w:pPr>
      <w:r w:rsidRPr="00C374CC">
        <w:rPr>
          <w:rFonts w:ascii="Arial" w:eastAsia="Arial" w:hAnsi="Arial" w:cs="Arial"/>
          <w:sz w:val="24"/>
        </w:rPr>
        <w:t>Public-internet site-to-site links (branch offices, remote access): ESP is required because the traffic traverses an untrusted network where confidentiality (hiding the payload from eavesdroppers) is essential; AH alone would leave data readable.</w:t>
      </w:r>
    </w:p>
    <w:p w14:paraId="293765EA" w14:textId="77777777" w:rsidR="00C374CC" w:rsidRPr="00C374CC" w:rsidRDefault="00C374CC" w:rsidP="00C374CC">
      <w:pPr>
        <w:numPr>
          <w:ilvl w:val="0"/>
          <w:numId w:val="2"/>
        </w:numPr>
        <w:spacing w:after="19"/>
        <w:rPr>
          <w:rFonts w:ascii="Arial" w:eastAsia="Arial" w:hAnsi="Arial" w:cs="Arial"/>
          <w:sz w:val="24"/>
        </w:rPr>
      </w:pPr>
      <w:r w:rsidRPr="00C374CC">
        <w:rPr>
          <w:rFonts w:ascii="Arial" w:eastAsia="Arial" w:hAnsi="Arial" w:cs="Arial"/>
          <w:sz w:val="24"/>
        </w:rPr>
        <w:t>Internal routing/control-plane traffic: AH is sufficient and sometimes preferred, since the priority is proving the traffic has not been spoofed or altered, not hiding it, and AH's lower overhead is a benefit on high-frequency control traffic.</w:t>
      </w:r>
    </w:p>
    <w:p w14:paraId="4D4D951A" w14:textId="77777777" w:rsidR="00C374CC" w:rsidRPr="00C374CC" w:rsidRDefault="00C374CC" w:rsidP="00C374CC">
      <w:pPr>
        <w:numPr>
          <w:ilvl w:val="0"/>
          <w:numId w:val="2"/>
        </w:numPr>
        <w:spacing w:after="19"/>
        <w:rPr>
          <w:rFonts w:ascii="Arial" w:eastAsia="Arial" w:hAnsi="Arial" w:cs="Arial"/>
          <w:sz w:val="24"/>
        </w:rPr>
      </w:pPr>
      <w:r w:rsidRPr="00C374CC">
        <w:rPr>
          <w:rFonts w:ascii="Arial" w:eastAsia="Arial" w:hAnsi="Arial" w:cs="Arial"/>
          <w:sz w:val="24"/>
        </w:rPr>
        <w:t>Environments with NAT in the path: ESP (with NAT-T) is strongly preferred, since AH's authentication of the outer IP header is broken by NAT's address rewriting.</w:t>
      </w:r>
    </w:p>
    <w:p w14:paraId="345DF125" w14:textId="77777777" w:rsidR="00C374CC" w:rsidRPr="00C374CC" w:rsidRDefault="00C374CC" w:rsidP="00C374CC">
      <w:pPr>
        <w:numPr>
          <w:ilvl w:val="0"/>
          <w:numId w:val="2"/>
        </w:numPr>
        <w:spacing w:after="19"/>
        <w:rPr>
          <w:rFonts w:ascii="Arial" w:eastAsia="Arial" w:hAnsi="Arial" w:cs="Arial"/>
          <w:sz w:val="24"/>
        </w:rPr>
      </w:pPr>
      <w:r w:rsidRPr="00C374CC">
        <w:rPr>
          <w:rFonts w:ascii="Arial" w:eastAsia="Arial" w:hAnsi="Arial" w:cs="Arial"/>
          <w:sz w:val="24"/>
        </w:rPr>
        <w:t>Regulatory/compliance-driven confidentiality requirements: ESP is mandatory wherever data-protection regulations require encryption in transit.</w:t>
      </w:r>
    </w:p>
    <w:tbl>
      <w:tblPr>
        <w:tblW w:w="9350" w:type="dxa"/>
        <w:tblBorders>
          <w:top w:val="single" w:sz="4" w:space="0" w:color="BFE3C8"/>
          <w:left w:val="single" w:sz="4" w:space="0" w:color="BFE3C8"/>
          <w:bottom w:val="single" w:sz="4" w:space="0" w:color="BFE3C8"/>
          <w:right w:val="single" w:sz="4" w:space="0" w:color="BFE3C8"/>
        </w:tblBorders>
        <w:tblCellMar>
          <w:left w:w="10" w:type="dxa"/>
          <w:right w:w="10" w:type="dxa"/>
        </w:tblCellMar>
        <w:tblLook w:val="04A0" w:firstRow="1" w:lastRow="0" w:firstColumn="1" w:lastColumn="0" w:noHBand="0" w:noVBand="1"/>
      </w:tblPr>
      <w:tblGrid>
        <w:gridCol w:w="9350"/>
      </w:tblGrid>
      <w:tr w:rsidR="00C374CC" w:rsidRPr="00C374CC" w14:paraId="71799C96" w14:textId="77777777">
        <w:tc>
          <w:tcPr>
            <w:tcW w:w="9350" w:type="dxa"/>
            <w:tcBorders>
              <w:top w:val="single" w:sz="4" w:space="0" w:color="BFE3C8"/>
              <w:left w:val="single" w:sz="4" w:space="0" w:color="BFE3C8"/>
              <w:bottom w:val="single" w:sz="4" w:space="0" w:color="BFE3C8"/>
              <w:right w:val="single" w:sz="4" w:space="0" w:color="BFE3C8"/>
            </w:tcBorders>
            <w:shd w:val="clear" w:color="auto" w:fill="EFFAF1"/>
            <w:tcMar>
              <w:top w:w="140" w:type="dxa"/>
              <w:left w:w="180" w:type="dxa"/>
              <w:bottom w:w="140" w:type="dxa"/>
              <w:right w:w="180" w:type="dxa"/>
            </w:tcMar>
            <w:hideMark/>
          </w:tcPr>
          <w:p w14:paraId="12F8E519"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Verdict for VPN deployment: ESP (typically with an integrated authentication mode such as AES-256-GCM) is the appropriate choice for essentially all VPN deployments. VPNs by definition carry traffic over an untrusted network (the public internet), so confidentiality is a baseline requirement that AH cannot provide. ESP with authentication delivers both confidentiality and integrity in a single protocol, avoids AH's NAT-traversal problems (critical since most VPN endpoints sit behind NAT), and modern AEAD ciphers make the performance gap versus AH-only negligible. AH is reserved for narrow, non-NATed, integrity-only use cases outside typical VPN scenarios.</w:t>
            </w:r>
          </w:p>
        </w:tc>
      </w:tr>
    </w:tbl>
    <w:p w14:paraId="7BD3BB31" w14:textId="77777777" w:rsidR="00C374CC" w:rsidRDefault="00C374CC" w:rsidP="00C374CC">
      <w:pPr>
        <w:spacing w:after="19"/>
        <w:rPr>
          <w:rFonts w:ascii="Arial" w:eastAsia="Arial" w:hAnsi="Arial" w:cs="Arial"/>
          <w:sz w:val="24"/>
        </w:rPr>
      </w:pPr>
    </w:p>
    <w:p w14:paraId="02E8247B" w14:textId="77777777" w:rsidR="00C374CC" w:rsidRDefault="00C374CC" w:rsidP="00C374CC">
      <w:pPr>
        <w:spacing w:after="19"/>
        <w:rPr>
          <w:rFonts w:ascii="Arial" w:eastAsia="Arial" w:hAnsi="Arial" w:cs="Arial"/>
          <w:sz w:val="24"/>
        </w:rPr>
      </w:pPr>
    </w:p>
    <w:p w14:paraId="7F331364" w14:textId="04C133AD" w:rsidR="00C374CC" w:rsidRPr="00C374CC" w:rsidRDefault="00C374CC" w:rsidP="00C374CC">
      <w:pPr>
        <w:spacing w:after="19"/>
        <w:rPr>
          <w:rFonts w:ascii="Arial" w:eastAsia="Arial" w:hAnsi="Arial" w:cs="Arial"/>
          <w:sz w:val="24"/>
        </w:rPr>
      </w:pPr>
      <w:r w:rsidRPr="00C374CC">
        <w:rPr>
          <w:rFonts w:ascii="Arial" w:eastAsia="Arial" w:hAnsi="Arial" w:cs="Arial"/>
          <w:sz w:val="24"/>
        </w:rPr>
        <w:t>Question 2</w:t>
      </w:r>
    </w:p>
    <w:p w14:paraId="6F6D664B"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Architectural Comparison</w:t>
      </w:r>
    </w:p>
    <w:tbl>
      <w:tblPr>
        <w:tblW w:w="9350" w:type="dxa"/>
        <w:tblBorders>
          <w:top w:val="single" w:sz="4" w:space="0" w:color="C0C0C0"/>
          <w:left w:val="single" w:sz="4" w:space="0" w:color="C0C0C0"/>
          <w:bottom w:val="single" w:sz="4" w:space="0" w:color="C0C0C0"/>
          <w:right w:val="single" w:sz="4" w:space="0" w:color="C0C0C0"/>
          <w:insideH w:val="single" w:sz="2" w:space="0" w:color="D8D8D8"/>
          <w:insideV w:val="single" w:sz="2" w:space="0" w:color="D8D8D8"/>
        </w:tblBorders>
        <w:tblCellMar>
          <w:left w:w="10" w:type="dxa"/>
          <w:right w:w="10" w:type="dxa"/>
        </w:tblCellMar>
        <w:tblLook w:val="04A0" w:firstRow="1" w:lastRow="0" w:firstColumn="1" w:lastColumn="0" w:noHBand="0" w:noVBand="1"/>
      </w:tblPr>
      <w:tblGrid>
        <w:gridCol w:w="2000"/>
        <w:gridCol w:w="3650"/>
        <w:gridCol w:w="3700"/>
      </w:tblGrid>
      <w:tr w:rsidR="00C374CC" w:rsidRPr="00C374CC" w14:paraId="0B81E81B" w14:textId="77777777">
        <w:trPr>
          <w:tblHeader/>
        </w:trPr>
        <w:tc>
          <w:tcPr>
            <w:tcW w:w="2000" w:type="dxa"/>
            <w:tcBorders>
              <w:top w:val="single" w:sz="4" w:space="0" w:color="C0C0C0"/>
              <w:left w:val="single" w:sz="4" w:space="0" w:color="C0C0C0"/>
              <w:bottom w:val="single" w:sz="2" w:space="0" w:color="D8D8D8"/>
              <w:right w:val="single" w:sz="2" w:space="0" w:color="D8D8D8"/>
            </w:tcBorders>
            <w:shd w:val="clear" w:color="auto" w:fill="1B2A41"/>
            <w:tcMar>
              <w:top w:w="100" w:type="dxa"/>
              <w:left w:w="120" w:type="dxa"/>
              <w:bottom w:w="100" w:type="dxa"/>
              <w:right w:w="120" w:type="dxa"/>
            </w:tcMar>
            <w:vAlign w:val="center"/>
            <w:hideMark/>
          </w:tcPr>
          <w:p w14:paraId="52FA3A37"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Aspect</w:t>
            </w:r>
          </w:p>
        </w:tc>
        <w:tc>
          <w:tcPr>
            <w:tcW w:w="3650" w:type="dxa"/>
            <w:tcBorders>
              <w:top w:val="single" w:sz="4" w:space="0" w:color="C0C0C0"/>
              <w:left w:val="single" w:sz="2" w:space="0" w:color="D8D8D8"/>
              <w:bottom w:val="single" w:sz="2" w:space="0" w:color="D8D8D8"/>
              <w:right w:val="single" w:sz="2" w:space="0" w:color="D8D8D8"/>
            </w:tcBorders>
            <w:shd w:val="clear" w:color="auto" w:fill="1B2A41"/>
            <w:tcMar>
              <w:top w:w="100" w:type="dxa"/>
              <w:left w:w="120" w:type="dxa"/>
              <w:bottom w:w="100" w:type="dxa"/>
              <w:right w:w="120" w:type="dxa"/>
            </w:tcMar>
            <w:vAlign w:val="center"/>
            <w:hideMark/>
          </w:tcPr>
          <w:p w14:paraId="64982A44"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Transport Mode</w:t>
            </w:r>
          </w:p>
        </w:tc>
        <w:tc>
          <w:tcPr>
            <w:tcW w:w="3700" w:type="dxa"/>
            <w:tcBorders>
              <w:top w:val="single" w:sz="4" w:space="0" w:color="C0C0C0"/>
              <w:left w:val="single" w:sz="2" w:space="0" w:color="D8D8D8"/>
              <w:bottom w:val="single" w:sz="2" w:space="0" w:color="D8D8D8"/>
              <w:right w:val="single" w:sz="4" w:space="0" w:color="C0C0C0"/>
            </w:tcBorders>
            <w:shd w:val="clear" w:color="auto" w:fill="1B2A41"/>
            <w:tcMar>
              <w:top w:w="100" w:type="dxa"/>
              <w:left w:w="120" w:type="dxa"/>
              <w:bottom w:w="100" w:type="dxa"/>
              <w:right w:w="120" w:type="dxa"/>
            </w:tcMar>
            <w:vAlign w:val="center"/>
            <w:hideMark/>
          </w:tcPr>
          <w:p w14:paraId="3C9A6E2F"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Tunnel Mode</w:t>
            </w:r>
          </w:p>
        </w:tc>
      </w:tr>
      <w:tr w:rsidR="00C374CC" w:rsidRPr="00C374CC" w14:paraId="15403EAF" w14:textId="77777777">
        <w:tc>
          <w:tcPr>
            <w:tcW w:w="2000"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11B1FDEC"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What is protected</w:t>
            </w:r>
          </w:p>
        </w:tc>
        <w:tc>
          <w:tcPr>
            <w:tcW w:w="3650"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7466FD5B"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Only the payload (upper-layer data) of the original IP packet; the original IP header is preserved and used for routing</w:t>
            </w:r>
          </w:p>
        </w:tc>
        <w:tc>
          <w:tcPr>
            <w:tcW w:w="3700"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2E1275DC"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The entire original IP packet (header + payload) is encapsulated inside a new IP packet with a new outer header</w:t>
            </w:r>
          </w:p>
        </w:tc>
      </w:tr>
      <w:tr w:rsidR="00C374CC" w:rsidRPr="00C374CC" w14:paraId="6CA2DE01" w14:textId="77777777">
        <w:tc>
          <w:tcPr>
            <w:tcW w:w="2000" w:type="dxa"/>
            <w:tcBorders>
              <w:top w:val="single" w:sz="2" w:space="0" w:color="D8D8D8"/>
              <w:left w:val="single" w:sz="4" w:space="0" w:color="C0C0C0"/>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5CB1772B"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Endpoints</w:t>
            </w:r>
          </w:p>
        </w:tc>
        <w:tc>
          <w:tcPr>
            <w:tcW w:w="3650" w:type="dxa"/>
            <w:tcBorders>
              <w:top w:val="single" w:sz="2" w:space="0" w:color="D8D8D8"/>
              <w:left w:val="single" w:sz="2" w:space="0" w:color="D8D8D8"/>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1F35A449"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The IPSec endpoints are the same as the communication endpoints (host-to-host)</w:t>
            </w:r>
          </w:p>
        </w:tc>
        <w:tc>
          <w:tcPr>
            <w:tcW w:w="3700" w:type="dxa"/>
            <w:tcBorders>
              <w:top w:val="single" w:sz="2" w:space="0" w:color="D8D8D8"/>
              <w:left w:val="single" w:sz="2" w:space="0" w:color="D8D8D8"/>
              <w:bottom w:val="single" w:sz="2" w:space="0" w:color="D8D8D8"/>
              <w:right w:val="single" w:sz="4" w:space="0" w:color="C0C0C0"/>
            </w:tcBorders>
            <w:shd w:val="clear" w:color="auto" w:fill="FFFFFF"/>
            <w:tcMar>
              <w:top w:w="90" w:type="dxa"/>
              <w:left w:w="120" w:type="dxa"/>
              <w:bottom w:w="90" w:type="dxa"/>
              <w:right w:w="120" w:type="dxa"/>
            </w:tcMar>
            <w:vAlign w:val="center"/>
            <w:hideMark/>
          </w:tcPr>
          <w:p w14:paraId="67EC3B11"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The IPSec endpoints (typically gateways/firewalls) can differ from the actual communication endpoints (hosts behind them)</w:t>
            </w:r>
          </w:p>
        </w:tc>
      </w:tr>
      <w:tr w:rsidR="00C374CC" w:rsidRPr="00C374CC" w14:paraId="4F6A9B06" w14:textId="77777777">
        <w:tc>
          <w:tcPr>
            <w:tcW w:w="2000"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3F2BBC9B"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lastRenderedPageBreak/>
              <w:t>Topology exposure</w:t>
            </w:r>
          </w:p>
        </w:tc>
        <w:tc>
          <w:tcPr>
            <w:tcW w:w="3650"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0BEF640C"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Original source/destination addresses are visible in the outer header</w:t>
            </w:r>
          </w:p>
        </w:tc>
        <w:tc>
          <w:tcPr>
            <w:tcW w:w="3700"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79DDDCC0"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Internal source/destination addresses are hidden inside the encrypted inner packet; only the gateway addresses are visible externally</w:t>
            </w:r>
          </w:p>
        </w:tc>
      </w:tr>
      <w:tr w:rsidR="00C374CC" w:rsidRPr="00C374CC" w14:paraId="1393A432" w14:textId="77777777">
        <w:tc>
          <w:tcPr>
            <w:tcW w:w="2000" w:type="dxa"/>
            <w:tcBorders>
              <w:top w:val="single" w:sz="2" w:space="0" w:color="D8D8D8"/>
              <w:left w:val="single" w:sz="4" w:space="0" w:color="C0C0C0"/>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47CA16F6"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Overhead</w:t>
            </w:r>
          </w:p>
        </w:tc>
        <w:tc>
          <w:tcPr>
            <w:tcW w:w="3650" w:type="dxa"/>
            <w:tcBorders>
              <w:top w:val="single" w:sz="2" w:space="0" w:color="D8D8D8"/>
              <w:left w:val="single" w:sz="2" w:space="0" w:color="D8D8D8"/>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2EDFB6C8"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Lower — no extra outer IP header</w:t>
            </w:r>
          </w:p>
        </w:tc>
        <w:tc>
          <w:tcPr>
            <w:tcW w:w="3700" w:type="dxa"/>
            <w:tcBorders>
              <w:top w:val="single" w:sz="2" w:space="0" w:color="D8D8D8"/>
              <w:left w:val="single" w:sz="2" w:space="0" w:color="D8D8D8"/>
              <w:bottom w:val="single" w:sz="2" w:space="0" w:color="D8D8D8"/>
              <w:right w:val="single" w:sz="4" w:space="0" w:color="C0C0C0"/>
            </w:tcBorders>
            <w:shd w:val="clear" w:color="auto" w:fill="FFFFFF"/>
            <w:tcMar>
              <w:top w:w="90" w:type="dxa"/>
              <w:left w:w="120" w:type="dxa"/>
              <w:bottom w:w="90" w:type="dxa"/>
              <w:right w:w="120" w:type="dxa"/>
            </w:tcMar>
            <w:vAlign w:val="center"/>
            <w:hideMark/>
          </w:tcPr>
          <w:p w14:paraId="5773E135"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Higher — adds a full extra IP header (~20 bytes for IPv4)</w:t>
            </w:r>
          </w:p>
        </w:tc>
      </w:tr>
      <w:tr w:rsidR="00C374CC" w:rsidRPr="00C374CC" w14:paraId="7C238DA9" w14:textId="77777777">
        <w:tc>
          <w:tcPr>
            <w:tcW w:w="2000"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220EC1E5"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NAT traversal</w:t>
            </w:r>
          </w:p>
        </w:tc>
        <w:tc>
          <w:tcPr>
            <w:tcW w:w="3650"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2B313CB8"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More problematic, especially with AH</w:t>
            </w:r>
          </w:p>
        </w:tc>
        <w:tc>
          <w:tcPr>
            <w:tcW w:w="3700"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1AF3201C"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Generally easier to manage, especially with ESP + NAT-T</w:t>
            </w:r>
          </w:p>
        </w:tc>
      </w:tr>
      <w:tr w:rsidR="00C374CC" w:rsidRPr="00C374CC" w14:paraId="0F5D8378" w14:textId="77777777">
        <w:tc>
          <w:tcPr>
            <w:tcW w:w="2000" w:type="dxa"/>
            <w:tcBorders>
              <w:top w:val="single" w:sz="2" w:space="0" w:color="D8D8D8"/>
              <w:left w:val="single" w:sz="4" w:space="0" w:color="C0C0C0"/>
              <w:bottom w:val="single" w:sz="4" w:space="0" w:color="C0C0C0"/>
              <w:right w:val="single" w:sz="2" w:space="0" w:color="D8D8D8"/>
            </w:tcBorders>
            <w:shd w:val="clear" w:color="auto" w:fill="FFFFFF"/>
            <w:tcMar>
              <w:top w:w="90" w:type="dxa"/>
              <w:left w:w="120" w:type="dxa"/>
              <w:bottom w:w="90" w:type="dxa"/>
              <w:right w:w="120" w:type="dxa"/>
            </w:tcMar>
            <w:vAlign w:val="center"/>
            <w:hideMark/>
          </w:tcPr>
          <w:p w14:paraId="7AFE9523"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Typical deployment</w:t>
            </w:r>
          </w:p>
        </w:tc>
        <w:tc>
          <w:tcPr>
            <w:tcW w:w="3650" w:type="dxa"/>
            <w:tcBorders>
              <w:top w:val="single" w:sz="2" w:space="0" w:color="D8D8D8"/>
              <w:left w:val="single" w:sz="2" w:space="0" w:color="D8D8D8"/>
              <w:bottom w:val="single" w:sz="4" w:space="0" w:color="C0C0C0"/>
              <w:right w:val="single" w:sz="2" w:space="0" w:color="D8D8D8"/>
            </w:tcBorders>
            <w:shd w:val="clear" w:color="auto" w:fill="FFFFFF"/>
            <w:tcMar>
              <w:top w:w="90" w:type="dxa"/>
              <w:left w:w="120" w:type="dxa"/>
              <w:bottom w:w="90" w:type="dxa"/>
              <w:right w:w="120" w:type="dxa"/>
            </w:tcMar>
            <w:vAlign w:val="center"/>
            <w:hideMark/>
          </w:tcPr>
          <w:p w14:paraId="13AC4C97"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Host-to-host IPSec between two IPSec-aware endpoints on the same logical network</w:t>
            </w:r>
          </w:p>
        </w:tc>
        <w:tc>
          <w:tcPr>
            <w:tcW w:w="3700" w:type="dxa"/>
            <w:tcBorders>
              <w:top w:val="single" w:sz="2" w:space="0" w:color="D8D8D8"/>
              <w:left w:val="single" w:sz="2" w:space="0" w:color="D8D8D8"/>
              <w:bottom w:val="single" w:sz="4" w:space="0" w:color="C0C0C0"/>
              <w:right w:val="single" w:sz="4" w:space="0" w:color="C0C0C0"/>
            </w:tcBorders>
            <w:shd w:val="clear" w:color="auto" w:fill="FFFFFF"/>
            <w:tcMar>
              <w:top w:w="90" w:type="dxa"/>
              <w:left w:w="120" w:type="dxa"/>
              <w:bottom w:w="90" w:type="dxa"/>
              <w:right w:w="120" w:type="dxa"/>
            </w:tcMar>
            <w:vAlign w:val="center"/>
            <w:hideMark/>
          </w:tcPr>
          <w:p w14:paraId="5402ED7C"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Site-to-site VPNs, remote-access VPNs, gateway-to-gateway communication</w:t>
            </w:r>
          </w:p>
        </w:tc>
      </w:tr>
    </w:tbl>
    <w:p w14:paraId="118948C5"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Effectiveness for Host-to-Host Communication</w:t>
      </w:r>
    </w:p>
    <w:p w14:paraId="5AB96D8E"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 xml:space="preserve">Transport mode is well suited to host-to-host communication because both communicating systems already run IPSec natively and are directly addressable — there is no need to hide the internal topology, since the 'internal topology' in this case is just the two hosts themselves. It also has lower overhead, which matters for a large number of pairwise host connections (e.g., securing traffic between specific servers in a data </w:t>
      </w:r>
      <w:proofErr w:type="spellStart"/>
      <w:r w:rsidRPr="00C374CC">
        <w:rPr>
          <w:rFonts w:ascii="Arial" w:eastAsia="Arial" w:hAnsi="Arial" w:cs="Arial"/>
          <w:sz w:val="24"/>
        </w:rPr>
        <w:t>center</w:t>
      </w:r>
      <w:proofErr w:type="spellEnd"/>
      <w:r w:rsidRPr="00C374CC">
        <w:rPr>
          <w:rFonts w:ascii="Arial" w:eastAsia="Arial" w:hAnsi="Arial" w:cs="Arial"/>
          <w:sz w:val="24"/>
        </w:rPr>
        <w:t>). Its main limitation is that it does not scale to protecting many hosts behind a single security boundary, since each host must independently implement and manage IPSec.</w:t>
      </w:r>
    </w:p>
    <w:p w14:paraId="16ACBF13"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Effectiveness for Network-to-Network Communication</w:t>
      </w:r>
    </w:p>
    <w:p w14:paraId="7C2AF13F"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Tunnel mode is the only appropriate choice for network-to-network (site-to-site) communication, because the security endpoints (gateways) are not the actual communicating hosts. Encapsulating the entire original packet allows a single pair of gateways to protect traffic for every host behind them, without requiring each individual host to run IPSec — this is essential for scalability in an enterprise with many internal hosts per site. It also hides internal addressing from the public network, providing a topology-confidentiality benefit transport mode cannot offer.</w:t>
      </w:r>
    </w:p>
    <w:p w14:paraId="7971656E"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br w:type="page"/>
      </w:r>
    </w:p>
    <w:p w14:paraId="0E4D3602"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lastRenderedPageBreak/>
        <w:t>Question 3</w:t>
      </w:r>
    </w:p>
    <w:tbl>
      <w:tblPr>
        <w:tblW w:w="9350" w:type="dxa"/>
        <w:tblBorders>
          <w:top w:val="single" w:sz="4" w:space="0" w:color="C7D2E0"/>
          <w:left w:val="single" w:sz="4" w:space="0" w:color="C7D2E0"/>
          <w:bottom w:val="single" w:sz="4" w:space="0" w:color="C7D2E0"/>
          <w:right w:val="single" w:sz="4" w:space="0" w:color="C7D2E0"/>
        </w:tblBorders>
        <w:tblCellMar>
          <w:left w:w="10" w:type="dxa"/>
          <w:right w:w="10" w:type="dxa"/>
        </w:tblCellMar>
        <w:tblLook w:val="04A0" w:firstRow="1" w:lastRow="0" w:firstColumn="1" w:lastColumn="0" w:noHBand="0" w:noVBand="1"/>
      </w:tblPr>
      <w:tblGrid>
        <w:gridCol w:w="2068"/>
        <w:gridCol w:w="3611"/>
        <w:gridCol w:w="3671"/>
      </w:tblGrid>
      <w:tr w:rsidR="00C374CC" w:rsidRPr="00C374CC" w14:paraId="38D7667B" w14:textId="77777777" w:rsidTr="00C374CC">
        <w:trPr>
          <w:tblHeader/>
        </w:trPr>
        <w:tc>
          <w:tcPr>
            <w:tcW w:w="2068" w:type="dxa"/>
            <w:tcBorders>
              <w:top w:val="single" w:sz="2" w:space="0" w:color="D8D8D8"/>
              <w:left w:val="single" w:sz="4" w:space="0" w:color="C0C0C0"/>
              <w:bottom w:val="single" w:sz="2" w:space="0" w:color="D8D8D8"/>
              <w:right w:val="single" w:sz="2" w:space="0" w:color="D8D8D8"/>
            </w:tcBorders>
            <w:shd w:val="clear" w:color="auto" w:fill="1B2A41"/>
            <w:tcMar>
              <w:top w:w="100" w:type="dxa"/>
              <w:left w:w="120" w:type="dxa"/>
              <w:bottom w:w="100" w:type="dxa"/>
              <w:right w:w="120" w:type="dxa"/>
            </w:tcMar>
            <w:vAlign w:val="center"/>
            <w:hideMark/>
          </w:tcPr>
          <w:p w14:paraId="0E094F3E" w14:textId="77777777" w:rsidR="00C374CC" w:rsidRPr="00C374CC" w:rsidRDefault="00C374CC" w:rsidP="00C374CC">
            <w:pPr>
              <w:spacing w:after="19"/>
              <w:rPr>
                <w:rFonts w:ascii="Arial" w:eastAsia="Arial" w:hAnsi="Arial" w:cs="Arial"/>
                <w:color w:val="F2F2F2" w:themeColor="background1" w:themeShade="F2"/>
                <w:sz w:val="24"/>
              </w:rPr>
            </w:pPr>
            <w:r w:rsidRPr="00C374CC">
              <w:rPr>
                <w:rFonts w:ascii="Arial" w:eastAsia="Arial" w:hAnsi="Arial" w:cs="Arial"/>
                <w:color w:val="F2F2F2" w:themeColor="background1" w:themeShade="F2"/>
                <w:sz w:val="24"/>
              </w:rPr>
              <w:t>Dimension</w:t>
            </w:r>
          </w:p>
        </w:tc>
        <w:tc>
          <w:tcPr>
            <w:tcW w:w="3611" w:type="dxa"/>
            <w:tcBorders>
              <w:top w:val="single" w:sz="2" w:space="0" w:color="D8D8D8"/>
              <w:left w:val="single" w:sz="2" w:space="0" w:color="D8D8D8"/>
              <w:bottom w:val="single" w:sz="2" w:space="0" w:color="D8D8D8"/>
              <w:right w:val="single" w:sz="2" w:space="0" w:color="D8D8D8"/>
            </w:tcBorders>
            <w:shd w:val="clear" w:color="auto" w:fill="1B2A41"/>
            <w:tcMar>
              <w:top w:w="100" w:type="dxa"/>
              <w:left w:w="120" w:type="dxa"/>
              <w:bottom w:w="100" w:type="dxa"/>
              <w:right w:w="120" w:type="dxa"/>
            </w:tcMar>
            <w:vAlign w:val="center"/>
            <w:hideMark/>
          </w:tcPr>
          <w:p w14:paraId="1631A9BC" w14:textId="77777777" w:rsidR="00C374CC" w:rsidRPr="00C374CC" w:rsidRDefault="00C374CC" w:rsidP="00C374CC">
            <w:pPr>
              <w:spacing w:after="19"/>
              <w:rPr>
                <w:rFonts w:ascii="Arial" w:eastAsia="Arial" w:hAnsi="Arial" w:cs="Arial"/>
                <w:color w:val="F2F2F2" w:themeColor="background1" w:themeShade="F2"/>
                <w:sz w:val="24"/>
              </w:rPr>
            </w:pPr>
            <w:r w:rsidRPr="00C374CC">
              <w:rPr>
                <w:rFonts w:ascii="Arial" w:eastAsia="Arial" w:hAnsi="Arial" w:cs="Arial"/>
                <w:color w:val="F2F2F2" w:themeColor="background1" w:themeShade="F2"/>
                <w:sz w:val="24"/>
              </w:rPr>
              <w:t>PGP</w:t>
            </w:r>
          </w:p>
        </w:tc>
        <w:tc>
          <w:tcPr>
            <w:tcW w:w="3671" w:type="dxa"/>
            <w:tcBorders>
              <w:top w:val="single" w:sz="2" w:space="0" w:color="D8D8D8"/>
              <w:left w:val="single" w:sz="2" w:space="0" w:color="D8D8D8"/>
              <w:bottom w:val="single" w:sz="2" w:space="0" w:color="D8D8D8"/>
              <w:right w:val="single" w:sz="4" w:space="0" w:color="C0C0C0"/>
            </w:tcBorders>
            <w:shd w:val="clear" w:color="auto" w:fill="1B2A41"/>
            <w:tcMar>
              <w:top w:w="100" w:type="dxa"/>
              <w:left w:w="120" w:type="dxa"/>
              <w:bottom w:w="100" w:type="dxa"/>
              <w:right w:w="120" w:type="dxa"/>
            </w:tcMar>
            <w:vAlign w:val="center"/>
            <w:hideMark/>
          </w:tcPr>
          <w:p w14:paraId="0A494B38" w14:textId="77777777" w:rsidR="00C374CC" w:rsidRPr="00C374CC" w:rsidRDefault="00C374CC" w:rsidP="00C374CC">
            <w:pPr>
              <w:spacing w:after="19"/>
              <w:rPr>
                <w:rFonts w:ascii="Arial" w:eastAsia="Arial" w:hAnsi="Arial" w:cs="Arial"/>
                <w:color w:val="F2F2F2" w:themeColor="background1" w:themeShade="F2"/>
                <w:sz w:val="24"/>
              </w:rPr>
            </w:pPr>
            <w:r w:rsidRPr="00C374CC">
              <w:rPr>
                <w:rFonts w:ascii="Arial" w:eastAsia="Arial" w:hAnsi="Arial" w:cs="Arial"/>
                <w:color w:val="F2F2F2" w:themeColor="background1" w:themeShade="F2"/>
                <w:sz w:val="24"/>
              </w:rPr>
              <w:t>S/MIME</w:t>
            </w:r>
          </w:p>
        </w:tc>
      </w:tr>
      <w:tr w:rsidR="00C374CC" w:rsidRPr="00C374CC" w14:paraId="08A08244" w14:textId="77777777" w:rsidTr="00C374CC">
        <w:tc>
          <w:tcPr>
            <w:tcW w:w="2068"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3A834CEF"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Key management</w:t>
            </w:r>
          </w:p>
        </w:tc>
        <w:tc>
          <w:tcPr>
            <w:tcW w:w="3611"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5A2B34E7"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 xml:space="preserve">Users generate and manage their own keypairs; public keys are distributed manually or via public </w:t>
            </w:r>
            <w:proofErr w:type="spellStart"/>
            <w:r w:rsidRPr="00C374CC">
              <w:rPr>
                <w:rFonts w:ascii="Arial" w:eastAsia="Arial" w:hAnsi="Arial" w:cs="Arial"/>
                <w:sz w:val="24"/>
              </w:rPr>
              <w:t>keyservers</w:t>
            </w:r>
            <w:proofErr w:type="spellEnd"/>
          </w:p>
        </w:tc>
        <w:tc>
          <w:tcPr>
            <w:tcW w:w="3671"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46997814"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Keys are bound to X.509 certificates issued by a CA, often integrated with enterprise identity systems (Active Directory/LDAP)</w:t>
            </w:r>
          </w:p>
        </w:tc>
      </w:tr>
      <w:tr w:rsidR="00C374CC" w:rsidRPr="00C374CC" w14:paraId="5F932A3D" w14:textId="77777777" w:rsidTr="00C374CC">
        <w:tc>
          <w:tcPr>
            <w:tcW w:w="2068" w:type="dxa"/>
            <w:tcBorders>
              <w:top w:val="single" w:sz="2" w:space="0" w:color="D8D8D8"/>
              <w:left w:val="single" w:sz="4" w:space="0" w:color="C0C0C0"/>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10B22CDE"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Trust model</w:t>
            </w:r>
          </w:p>
        </w:tc>
        <w:tc>
          <w:tcPr>
            <w:tcW w:w="3611" w:type="dxa"/>
            <w:tcBorders>
              <w:top w:val="single" w:sz="2" w:space="0" w:color="D8D8D8"/>
              <w:left w:val="single" w:sz="2" w:space="0" w:color="D8D8D8"/>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1E70030A"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Decentralized Web of Trust — trust is built through peer key-signing and individually assigned trust levels</w:t>
            </w:r>
          </w:p>
        </w:tc>
        <w:tc>
          <w:tcPr>
            <w:tcW w:w="3671" w:type="dxa"/>
            <w:tcBorders>
              <w:top w:val="single" w:sz="2" w:space="0" w:color="D8D8D8"/>
              <w:left w:val="single" w:sz="2" w:space="0" w:color="D8D8D8"/>
              <w:bottom w:val="single" w:sz="2" w:space="0" w:color="D8D8D8"/>
              <w:right w:val="single" w:sz="4" w:space="0" w:color="C0C0C0"/>
            </w:tcBorders>
            <w:shd w:val="clear" w:color="auto" w:fill="FFFFFF"/>
            <w:tcMar>
              <w:top w:w="90" w:type="dxa"/>
              <w:left w:w="120" w:type="dxa"/>
              <w:bottom w:w="90" w:type="dxa"/>
              <w:right w:w="120" w:type="dxa"/>
            </w:tcMar>
            <w:vAlign w:val="center"/>
            <w:hideMark/>
          </w:tcPr>
          <w:p w14:paraId="4A314790"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Centralized hierarchical PKI — trust flows from one or more root Certificate Authorities down through intermediate CAs to end-entity certificates</w:t>
            </w:r>
          </w:p>
        </w:tc>
      </w:tr>
      <w:tr w:rsidR="00C374CC" w:rsidRPr="00C374CC" w14:paraId="1CDD3E1C" w14:textId="77777777" w:rsidTr="00C374CC">
        <w:tc>
          <w:tcPr>
            <w:tcW w:w="2068"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2BC85894"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Revocation</w:t>
            </w:r>
          </w:p>
        </w:tc>
        <w:tc>
          <w:tcPr>
            <w:tcW w:w="3611"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3FFAE741"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Key owner must publish a revocation certificate; others must actively fetch/notice it — no central enforcement</w:t>
            </w:r>
          </w:p>
        </w:tc>
        <w:tc>
          <w:tcPr>
            <w:tcW w:w="3671"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17867904"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Centralized revocation via CRL/OCSP; enforced automatically by any client that checks revocation status</w:t>
            </w:r>
          </w:p>
        </w:tc>
      </w:tr>
      <w:tr w:rsidR="00C374CC" w:rsidRPr="00C374CC" w14:paraId="6938BBEC" w14:textId="77777777" w:rsidTr="00C374CC">
        <w:tc>
          <w:tcPr>
            <w:tcW w:w="2068" w:type="dxa"/>
            <w:tcBorders>
              <w:top w:val="single" w:sz="2" w:space="0" w:color="D8D8D8"/>
              <w:left w:val="single" w:sz="4" w:space="0" w:color="C0C0C0"/>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6EA47FBA"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Scalability</w:t>
            </w:r>
          </w:p>
        </w:tc>
        <w:tc>
          <w:tcPr>
            <w:tcW w:w="3611" w:type="dxa"/>
            <w:tcBorders>
              <w:top w:val="single" w:sz="2" w:space="0" w:color="D8D8D8"/>
              <w:left w:val="single" w:sz="2" w:space="0" w:color="D8D8D8"/>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37C4EE51"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Difficult at large scale — no central authority to onboard, audit, or manage thousands of identities</w:t>
            </w:r>
          </w:p>
        </w:tc>
        <w:tc>
          <w:tcPr>
            <w:tcW w:w="3671" w:type="dxa"/>
            <w:tcBorders>
              <w:top w:val="single" w:sz="2" w:space="0" w:color="D8D8D8"/>
              <w:left w:val="single" w:sz="2" w:space="0" w:color="D8D8D8"/>
              <w:bottom w:val="single" w:sz="2" w:space="0" w:color="D8D8D8"/>
              <w:right w:val="single" w:sz="4" w:space="0" w:color="C0C0C0"/>
            </w:tcBorders>
            <w:shd w:val="clear" w:color="auto" w:fill="FFFFFF"/>
            <w:tcMar>
              <w:top w:w="90" w:type="dxa"/>
              <w:left w:w="120" w:type="dxa"/>
              <w:bottom w:w="90" w:type="dxa"/>
              <w:right w:w="120" w:type="dxa"/>
            </w:tcMar>
            <w:vAlign w:val="center"/>
            <w:hideMark/>
          </w:tcPr>
          <w:p w14:paraId="18F77B0F"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Scales well — CA-based issuance, renewal, and revocation can be automated and centrally managed</w:t>
            </w:r>
          </w:p>
        </w:tc>
      </w:tr>
      <w:tr w:rsidR="00C374CC" w:rsidRPr="00C374CC" w14:paraId="38DAC93A" w14:textId="77777777" w:rsidTr="00C374CC">
        <w:tc>
          <w:tcPr>
            <w:tcW w:w="2068"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408E45E5"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Enterprise usability</w:t>
            </w:r>
          </w:p>
        </w:tc>
        <w:tc>
          <w:tcPr>
            <w:tcW w:w="3611"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2D1C3104"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Requires third-party plugins in most clients; concepts (</w:t>
            </w:r>
            <w:proofErr w:type="spellStart"/>
            <w:r w:rsidRPr="00C374CC">
              <w:rPr>
                <w:rFonts w:ascii="Arial" w:eastAsia="Arial" w:hAnsi="Arial" w:cs="Arial"/>
                <w:sz w:val="24"/>
              </w:rPr>
              <w:t>keyservers</w:t>
            </w:r>
            <w:proofErr w:type="spellEnd"/>
            <w:r w:rsidRPr="00C374CC">
              <w:rPr>
                <w:rFonts w:ascii="Arial" w:eastAsia="Arial" w:hAnsi="Arial" w:cs="Arial"/>
                <w:sz w:val="24"/>
              </w:rPr>
              <w:t>, web of trust, key signing) are unfamiliar to typical business users</w:t>
            </w:r>
          </w:p>
        </w:tc>
        <w:tc>
          <w:tcPr>
            <w:tcW w:w="3671"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2D914397"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Natively supported in Outlook, Apple Mail, and most enterprise mail platforms; largely transparent to end users once configured</w:t>
            </w:r>
          </w:p>
        </w:tc>
      </w:tr>
      <w:tr w:rsidR="00C374CC" w:rsidRPr="00C374CC" w14:paraId="67990E52" w14:textId="77777777" w:rsidTr="00C374CC">
        <w:tc>
          <w:tcPr>
            <w:tcW w:w="2068" w:type="dxa"/>
            <w:tcBorders>
              <w:top w:val="single" w:sz="2" w:space="0" w:color="D8D8D8"/>
              <w:left w:val="single" w:sz="4" w:space="0" w:color="C0C0C0"/>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3C6699F3"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Audit/compliance fit</w:t>
            </w:r>
          </w:p>
        </w:tc>
        <w:tc>
          <w:tcPr>
            <w:tcW w:w="3611" w:type="dxa"/>
            <w:tcBorders>
              <w:top w:val="single" w:sz="2" w:space="0" w:color="D8D8D8"/>
              <w:left w:val="single" w:sz="2" w:space="0" w:color="D8D8D8"/>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472CDDFD"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Hard to demonstrate a formal, centrally governed trust chain to auditors</w:t>
            </w:r>
          </w:p>
        </w:tc>
        <w:tc>
          <w:tcPr>
            <w:tcW w:w="3671" w:type="dxa"/>
            <w:tcBorders>
              <w:top w:val="single" w:sz="2" w:space="0" w:color="D8D8D8"/>
              <w:left w:val="single" w:sz="2" w:space="0" w:color="D8D8D8"/>
              <w:bottom w:val="single" w:sz="2" w:space="0" w:color="D8D8D8"/>
              <w:right w:val="single" w:sz="4" w:space="0" w:color="C0C0C0"/>
            </w:tcBorders>
            <w:shd w:val="clear" w:color="auto" w:fill="FFFFFF"/>
            <w:tcMar>
              <w:top w:w="90" w:type="dxa"/>
              <w:left w:w="120" w:type="dxa"/>
              <w:bottom w:w="90" w:type="dxa"/>
              <w:right w:w="120" w:type="dxa"/>
            </w:tcMar>
            <w:vAlign w:val="center"/>
            <w:hideMark/>
          </w:tcPr>
          <w:p w14:paraId="1F4CFD2B"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Aligns naturally with existing enterprise PKI and compliance frameworks</w:t>
            </w:r>
          </w:p>
        </w:tc>
      </w:tr>
      <w:tr w:rsidR="00C374CC" w:rsidRPr="00C374CC" w14:paraId="78E3512C" w14:textId="77777777">
        <w:tc>
          <w:tcPr>
            <w:tcW w:w="9350" w:type="dxa"/>
            <w:gridSpan w:val="3"/>
            <w:tcBorders>
              <w:top w:val="nil"/>
              <w:left w:val="single" w:sz="4" w:space="0" w:color="BFE3C8"/>
              <w:bottom w:val="single" w:sz="4" w:space="0" w:color="BFE3C8"/>
              <w:right w:val="single" w:sz="4" w:space="0" w:color="BFE3C8"/>
            </w:tcBorders>
            <w:shd w:val="clear" w:color="auto" w:fill="EFFAF1"/>
            <w:tcMar>
              <w:top w:w="140" w:type="dxa"/>
              <w:left w:w="180" w:type="dxa"/>
              <w:bottom w:w="140" w:type="dxa"/>
              <w:right w:w="180" w:type="dxa"/>
            </w:tcMar>
            <w:hideMark/>
          </w:tcPr>
          <w:p w14:paraId="75C7465D"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Recommendation for a corporate email system: S/MIME is the more suitable approach. Its centralized PKI trust model can be integrated directly with the organization's existing identity infrastructure (Active Directory/LDAP), enabling automated certificate issuance at onboarding and immediate revocation at offboarding — something PGP's peer-trust model cannot replicate at enterprise scale. S/MIME's native support in mainstream corporate mail clients also minimizes training and support overhead compared to PGP's plugin-dependent workflow. PGP remains a reasonable secondary option only for ad hoc secure communication with external parties who have no shared CA relationship with the organization.</w:t>
            </w:r>
          </w:p>
        </w:tc>
      </w:tr>
    </w:tbl>
    <w:p w14:paraId="43ADFAB2"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br w:type="page"/>
      </w:r>
    </w:p>
    <w:p w14:paraId="0477664B"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lastRenderedPageBreak/>
        <w:t>Question 4</w:t>
      </w:r>
    </w:p>
    <w:tbl>
      <w:tblPr>
        <w:tblW w:w="9350" w:type="dxa"/>
        <w:tblBorders>
          <w:top w:val="single" w:sz="4" w:space="0" w:color="C7D2E0"/>
          <w:left w:val="single" w:sz="4" w:space="0" w:color="C7D2E0"/>
          <w:bottom w:val="single" w:sz="4" w:space="0" w:color="C7D2E0"/>
          <w:right w:val="single" w:sz="4" w:space="0" w:color="C7D2E0"/>
        </w:tblBorders>
        <w:tblCellMar>
          <w:left w:w="10" w:type="dxa"/>
          <w:right w:w="10" w:type="dxa"/>
        </w:tblCellMar>
        <w:tblLook w:val="04A0" w:firstRow="1" w:lastRow="0" w:firstColumn="1" w:lastColumn="0" w:noHBand="0" w:noVBand="1"/>
      </w:tblPr>
      <w:tblGrid>
        <w:gridCol w:w="3140"/>
        <w:gridCol w:w="3101"/>
        <w:gridCol w:w="3109"/>
      </w:tblGrid>
      <w:tr w:rsidR="00C374CC" w:rsidRPr="00C374CC" w14:paraId="43BB630B" w14:textId="77777777">
        <w:tc>
          <w:tcPr>
            <w:tcW w:w="9350" w:type="dxa"/>
            <w:gridSpan w:val="3"/>
            <w:tcBorders>
              <w:top w:val="single" w:sz="4" w:space="0" w:color="C7D2E0"/>
              <w:left w:val="single" w:sz="4" w:space="0" w:color="C7D2E0"/>
              <w:bottom w:val="nil"/>
              <w:right w:val="single" w:sz="4" w:space="0" w:color="C7D2E0"/>
            </w:tcBorders>
            <w:shd w:val="clear" w:color="auto" w:fill="EEF2F8"/>
            <w:tcMar>
              <w:top w:w="150" w:type="dxa"/>
              <w:left w:w="180" w:type="dxa"/>
              <w:bottom w:w="150" w:type="dxa"/>
              <w:right w:w="180" w:type="dxa"/>
            </w:tcMar>
            <w:hideMark/>
          </w:tcPr>
          <w:p w14:paraId="739C06BD" w14:textId="1ECC31BE" w:rsidR="00C374CC" w:rsidRPr="00C374CC" w:rsidRDefault="00C374CC" w:rsidP="00C374CC">
            <w:pPr>
              <w:spacing w:after="19"/>
              <w:rPr>
                <w:rFonts w:ascii="Arial" w:eastAsia="Arial" w:hAnsi="Arial" w:cs="Arial"/>
                <w:sz w:val="24"/>
              </w:rPr>
            </w:pPr>
          </w:p>
        </w:tc>
      </w:tr>
      <w:tr w:rsidR="00C374CC" w:rsidRPr="00C374CC" w14:paraId="549EE98A" w14:textId="77777777">
        <w:trPr>
          <w:tblHeader/>
        </w:trPr>
        <w:tc>
          <w:tcPr>
            <w:tcW w:w="2100" w:type="dxa"/>
            <w:tcBorders>
              <w:top w:val="single" w:sz="2" w:space="0" w:color="D8D8D8"/>
              <w:left w:val="single" w:sz="4" w:space="0" w:color="C0C0C0"/>
              <w:bottom w:val="single" w:sz="2" w:space="0" w:color="D8D8D8"/>
              <w:right w:val="single" w:sz="2" w:space="0" w:color="D8D8D8"/>
            </w:tcBorders>
            <w:shd w:val="clear" w:color="auto" w:fill="1B2A41"/>
            <w:tcMar>
              <w:top w:w="100" w:type="dxa"/>
              <w:left w:w="120" w:type="dxa"/>
              <w:bottom w:w="100" w:type="dxa"/>
              <w:right w:w="120" w:type="dxa"/>
            </w:tcMar>
            <w:vAlign w:val="center"/>
            <w:hideMark/>
          </w:tcPr>
          <w:p w14:paraId="06D36382" w14:textId="77777777" w:rsidR="00C374CC" w:rsidRPr="00C374CC" w:rsidRDefault="00C374CC" w:rsidP="00C374CC">
            <w:pPr>
              <w:spacing w:after="19"/>
              <w:rPr>
                <w:rFonts w:ascii="Arial" w:eastAsia="Arial" w:hAnsi="Arial" w:cs="Arial"/>
                <w:sz w:val="24"/>
              </w:rPr>
            </w:pPr>
            <w:r w:rsidRPr="00C374CC">
              <w:rPr>
                <w:rFonts w:ascii="Arial" w:eastAsia="Arial" w:hAnsi="Arial" w:cs="Arial"/>
                <w:color w:val="F2F2F2" w:themeColor="background1" w:themeShade="F2"/>
                <w:sz w:val="24"/>
              </w:rPr>
              <w:t>Aspect</w:t>
            </w:r>
          </w:p>
        </w:tc>
        <w:tc>
          <w:tcPr>
            <w:tcW w:w="3600" w:type="dxa"/>
            <w:tcBorders>
              <w:top w:val="single" w:sz="2" w:space="0" w:color="D8D8D8"/>
              <w:left w:val="single" w:sz="2" w:space="0" w:color="D8D8D8"/>
              <w:bottom w:val="single" w:sz="2" w:space="0" w:color="D8D8D8"/>
              <w:right w:val="single" w:sz="2" w:space="0" w:color="D8D8D8"/>
            </w:tcBorders>
            <w:shd w:val="clear" w:color="auto" w:fill="1B2A41"/>
            <w:tcMar>
              <w:top w:w="100" w:type="dxa"/>
              <w:left w:w="120" w:type="dxa"/>
              <w:bottom w:w="100" w:type="dxa"/>
              <w:right w:w="120" w:type="dxa"/>
            </w:tcMar>
            <w:vAlign w:val="center"/>
            <w:hideMark/>
          </w:tcPr>
          <w:p w14:paraId="769D22C7" w14:textId="77777777" w:rsidR="00C374CC" w:rsidRPr="00C374CC" w:rsidRDefault="00C374CC" w:rsidP="00C374CC">
            <w:pPr>
              <w:spacing w:after="19"/>
              <w:rPr>
                <w:rFonts w:ascii="Arial" w:eastAsia="Arial" w:hAnsi="Arial" w:cs="Arial"/>
                <w:sz w:val="24"/>
              </w:rPr>
            </w:pPr>
            <w:r w:rsidRPr="00C374CC">
              <w:rPr>
                <w:rFonts w:ascii="Arial" w:eastAsia="Arial" w:hAnsi="Arial" w:cs="Arial"/>
                <w:color w:val="F2F2F2" w:themeColor="background1" w:themeShade="F2"/>
                <w:sz w:val="24"/>
              </w:rPr>
              <w:t>Rule-Based Filtering</w:t>
            </w:r>
          </w:p>
        </w:tc>
        <w:tc>
          <w:tcPr>
            <w:tcW w:w="3650" w:type="dxa"/>
            <w:tcBorders>
              <w:top w:val="single" w:sz="2" w:space="0" w:color="D8D8D8"/>
              <w:left w:val="single" w:sz="2" w:space="0" w:color="D8D8D8"/>
              <w:bottom w:val="single" w:sz="2" w:space="0" w:color="D8D8D8"/>
              <w:right w:val="single" w:sz="4" w:space="0" w:color="C0C0C0"/>
            </w:tcBorders>
            <w:shd w:val="clear" w:color="auto" w:fill="1B2A41"/>
            <w:tcMar>
              <w:top w:w="100" w:type="dxa"/>
              <w:left w:w="120" w:type="dxa"/>
              <w:bottom w:w="100" w:type="dxa"/>
              <w:right w:w="120" w:type="dxa"/>
            </w:tcMar>
            <w:vAlign w:val="center"/>
            <w:hideMark/>
          </w:tcPr>
          <w:p w14:paraId="054C211C" w14:textId="77777777" w:rsidR="00C374CC" w:rsidRPr="00C374CC" w:rsidRDefault="00C374CC" w:rsidP="00C374CC">
            <w:pPr>
              <w:spacing w:after="19"/>
              <w:rPr>
                <w:rFonts w:ascii="Arial" w:eastAsia="Arial" w:hAnsi="Arial" w:cs="Arial"/>
                <w:sz w:val="24"/>
              </w:rPr>
            </w:pPr>
            <w:r w:rsidRPr="00C374CC">
              <w:rPr>
                <w:rFonts w:ascii="Arial" w:eastAsia="Arial" w:hAnsi="Arial" w:cs="Arial"/>
                <w:color w:val="F2F2F2" w:themeColor="background1" w:themeShade="F2"/>
                <w:sz w:val="24"/>
              </w:rPr>
              <w:t>Machine Learning-Based Filtering</w:t>
            </w:r>
          </w:p>
        </w:tc>
      </w:tr>
      <w:tr w:rsidR="00C374CC" w:rsidRPr="00C374CC" w14:paraId="3CCC680A" w14:textId="77777777">
        <w:tc>
          <w:tcPr>
            <w:tcW w:w="2100"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6F724013"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Detection basis</w:t>
            </w:r>
          </w:p>
        </w:tc>
        <w:tc>
          <w:tcPr>
            <w:tcW w:w="3600"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0D111D27"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Explicit, human-defined rules: keyword/blacklists, header checks (SPF/DKIM/DMARC), fixed pattern matching</w:t>
            </w:r>
          </w:p>
        </w:tc>
        <w:tc>
          <w:tcPr>
            <w:tcW w:w="3650"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64982B92"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Statistical model (e.g., Naive Bayes, SVM, gradient-boosted trees, neural networks) trained on labelled examples to learn spam-indicating patterns</w:t>
            </w:r>
          </w:p>
        </w:tc>
      </w:tr>
      <w:tr w:rsidR="00C374CC" w:rsidRPr="00C374CC" w14:paraId="24B23722" w14:textId="77777777">
        <w:tc>
          <w:tcPr>
            <w:tcW w:w="2100" w:type="dxa"/>
            <w:tcBorders>
              <w:top w:val="single" w:sz="2" w:space="0" w:color="D8D8D8"/>
              <w:left w:val="single" w:sz="4" w:space="0" w:color="C0C0C0"/>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08C025F9"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Adaptability to new/evolving spam</w:t>
            </w:r>
          </w:p>
        </w:tc>
        <w:tc>
          <w:tcPr>
            <w:tcW w:w="3600" w:type="dxa"/>
            <w:tcBorders>
              <w:top w:val="single" w:sz="2" w:space="0" w:color="D8D8D8"/>
              <w:left w:val="single" w:sz="2" w:space="0" w:color="D8D8D8"/>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4E7D68DE"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Low — must be manually updated each time attackers change wording, domains, or techniques</w:t>
            </w:r>
          </w:p>
        </w:tc>
        <w:tc>
          <w:tcPr>
            <w:tcW w:w="3650" w:type="dxa"/>
            <w:tcBorders>
              <w:top w:val="single" w:sz="2" w:space="0" w:color="D8D8D8"/>
              <w:left w:val="single" w:sz="2" w:space="0" w:color="D8D8D8"/>
              <w:bottom w:val="single" w:sz="2" w:space="0" w:color="D8D8D8"/>
              <w:right w:val="single" w:sz="4" w:space="0" w:color="C0C0C0"/>
            </w:tcBorders>
            <w:shd w:val="clear" w:color="auto" w:fill="FFFFFF"/>
            <w:tcMar>
              <w:top w:w="90" w:type="dxa"/>
              <w:left w:w="120" w:type="dxa"/>
              <w:bottom w:w="90" w:type="dxa"/>
              <w:right w:w="120" w:type="dxa"/>
            </w:tcMar>
            <w:vAlign w:val="center"/>
            <w:hideMark/>
          </w:tcPr>
          <w:p w14:paraId="3C2CFB51"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Higher — can generalize to variations not explicitly seen before, and improves as it is retrained on new labelled data</w:t>
            </w:r>
          </w:p>
        </w:tc>
      </w:tr>
      <w:tr w:rsidR="00C374CC" w:rsidRPr="00C374CC" w14:paraId="1133CAB9" w14:textId="77777777">
        <w:tc>
          <w:tcPr>
            <w:tcW w:w="2100"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63F9CB9F"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Transparency/explainability</w:t>
            </w:r>
          </w:p>
        </w:tc>
        <w:tc>
          <w:tcPr>
            <w:tcW w:w="3600"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01057C6A"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High — each rule's trigger is explicit and easy to explain to an auditor or end user</w:t>
            </w:r>
          </w:p>
        </w:tc>
        <w:tc>
          <w:tcPr>
            <w:tcW w:w="3650"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4A82A654"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Lower — especially for complex models, decisions can be harder to explain (a 'black box' concern)</w:t>
            </w:r>
          </w:p>
        </w:tc>
      </w:tr>
      <w:tr w:rsidR="00C374CC" w:rsidRPr="00C374CC" w14:paraId="3C50130C" w14:textId="77777777">
        <w:tc>
          <w:tcPr>
            <w:tcW w:w="2100" w:type="dxa"/>
            <w:tcBorders>
              <w:top w:val="single" w:sz="2" w:space="0" w:color="D8D8D8"/>
              <w:left w:val="single" w:sz="4" w:space="0" w:color="C0C0C0"/>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0AF4D0DC"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 xml:space="preserve">False positive </w:t>
            </w:r>
            <w:proofErr w:type="spellStart"/>
            <w:r w:rsidRPr="00C374CC">
              <w:rPr>
                <w:rFonts w:ascii="Arial" w:eastAsia="Arial" w:hAnsi="Arial" w:cs="Arial"/>
                <w:sz w:val="24"/>
              </w:rPr>
              <w:t>behavior</w:t>
            </w:r>
            <w:proofErr w:type="spellEnd"/>
          </w:p>
        </w:tc>
        <w:tc>
          <w:tcPr>
            <w:tcW w:w="3600" w:type="dxa"/>
            <w:tcBorders>
              <w:top w:val="single" w:sz="2" w:space="0" w:color="D8D8D8"/>
              <w:left w:val="single" w:sz="2" w:space="0" w:color="D8D8D8"/>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6CFD3D7E"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Predictable but brittle — a single overly broad rule (e.g., a common word on a blocklist) can generate many false positives</w:t>
            </w:r>
          </w:p>
        </w:tc>
        <w:tc>
          <w:tcPr>
            <w:tcW w:w="3650" w:type="dxa"/>
            <w:tcBorders>
              <w:top w:val="single" w:sz="2" w:space="0" w:color="D8D8D8"/>
              <w:left w:val="single" w:sz="2" w:space="0" w:color="D8D8D8"/>
              <w:bottom w:val="single" w:sz="2" w:space="0" w:color="D8D8D8"/>
              <w:right w:val="single" w:sz="4" w:space="0" w:color="C0C0C0"/>
            </w:tcBorders>
            <w:shd w:val="clear" w:color="auto" w:fill="FFFFFF"/>
            <w:tcMar>
              <w:top w:w="90" w:type="dxa"/>
              <w:left w:w="120" w:type="dxa"/>
              <w:bottom w:w="90" w:type="dxa"/>
              <w:right w:w="120" w:type="dxa"/>
            </w:tcMar>
            <w:vAlign w:val="center"/>
            <w:hideMark/>
          </w:tcPr>
          <w:p w14:paraId="4A2D061B"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Can be tuned via probability thresholds and continuous retraining, but may produce unpredictable false positives on unusual but legitimate emails not resembling training data</w:t>
            </w:r>
          </w:p>
        </w:tc>
      </w:tr>
      <w:tr w:rsidR="00C374CC" w:rsidRPr="00C374CC" w14:paraId="38556845" w14:textId="77777777">
        <w:tc>
          <w:tcPr>
            <w:tcW w:w="2100"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66F79A02"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Maintenance effort</w:t>
            </w:r>
          </w:p>
        </w:tc>
        <w:tc>
          <w:tcPr>
            <w:tcW w:w="3600"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43DC3916"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Ongoing manual effort to keep rules current with attacker tactics</w:t>
            </w:r>
          </w:p>
        </w:tc>
        <w:tc>
          <w:tcPr>
            <w:tcW w:w="3650"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7286CC38"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Requires periodic retraining pipelines and quality-labelled data, but adapts with less manual rule-writing</w:t>
            </w:r>
          </w:p>
        </w:tc>
      </w:tr>
      <w:tr w:rsidR="00C374CC" w:rsidRPr="00C374CC" w14:paraId="1C1651A5" w14:textId="77777777">
        <w:tc>
          <w:tcPr>
            <w:tcW w:w="2100" w:type="dxa"/>
            <w:tcBorders>
              <w:top w:val="single" w:sz="2" w:space="0" w:color="D8D8D8"/>
              <w:left w:val="single" w:sz="4" w:space="0" w:color="C0C0C0"/>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3F8DF682"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Performance against targeted/spear-phishing</w:t>
            </w:r>
          </w:p>
        </w:tc>
        <w:tc>
          <w:tcPr>
            <w:tcW w:w="3600" w:type="dxa"/>
            <w:tcBorders>
              <w:top w:val="single" w:sz="2" w:space="0" w:color="D8D8D8"/>
              <w:left w:val="single" w:sz="2" w:space="0" w:color="D8D8D8"/>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4436B217"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Weak — targeted attacks are crafted specifically to avoid known rules/keywords</w:t>
            </w:r>
          </w:p>
        </w:tc>
        <w:tc>
          <w:tcPr>
            <w:tcW w:w="3650" w:type="dxa"/>
            <w:tcBorders>
              <w:top w:val="single" w:sz="2" w:space="0" w:color="D8D8D8"/>
              <w:left w:val="single" w:sz="2" w:space="0" w:color="D8D8D8"/>
              <w:bottom w:val="single" w:sz="2" w:space="0" w:color="D8D8D8"/>
              <w:right w:val="single" w:sz="4" w:space="0" w:color="C0C0C0"/>
            </w:tcBorders>
            <w:shd w:val="clear" w:color="auto" w:fill="FFFFFF"/>
            <w:tcMar>
              <w:top w:w="90" w:type="dxa"/>
              <w:left w:w="120" w:type="dxa"/>
              <w:bottom w:w="90" w:type="dxa"/>
              <w:right w:w="120" w:type="dxa"/>
            </w:tcMar>
            <w:vAlign w:val="center"/>
            <w:hideMark/>
          </w:tcPr>
          <w:p w14:paraId="015B0688"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 xml:space="preserve">Better, especially when combined with </w:t>
            </w:r>
            <w:proofErr w:type="spellStart"/>
            <w:r w:rsidRPr="00C374CC">
              <w:rPr>
                <w:rFonts w:ascii="Arial" w:eastAsia="Arial" w:hAnsi="Arial" w:cs="Arial"/>
                <w:sz w:val="24"/>
              </w:rPr>
              <w:t>behavioral</w:t>
            </w:r>
            <w:proofErr w:type="spellEnd"/>
            <w:r w:rsidRPr="00C374CC">
              <w:rPr>
                <w:rFonts w:ascii="Arial" w:eastAsia="Arial" w:hAnsi="Arial" w:cs="Arial"/>
                <w:sz w:val="24"/>
              </w:rPr>
              <w:t xml:space="preserve">/contextual features (e.g., sender-relationship anomalies), though still not perfect </w:t>
            </w:r>
            <w:r w:rsidRPr="00C374CC">
              <w:rPr>
                <w:rFonts w:ascii="Arial" w:eastAsia="Arial" w:hAnsi="Arial" w:cs="Arial"/>
                <w:sz w:val="24"/>
              </w:rPr>
              <w:lastRenderedPageBreak/>
              <w:t>against well-crafted attacks</w:t>
            </w:r>
          </w:p>
        </w:tc>
      </w:tr>
      <w:tr w:rsidR="00C374CC" w:rsidRPr="00C374CC" w14:paraId="39A8113A" w14:textId="77777777">
        <w:tc>
          <w:tcPr>
            <w:tcW w:w="2100" w:type="dxa"/>
            <w:tcBorders>
              <w:top w:val="single" w:sz="2" w:space="0" w:color="D8D8D8"/>
              <w:left w:val="single" w:sz="4" w:space="0" w:color="C0C0C0"/>
              <w:bottom w:val="single" w:sz="4" w:space="0" w:color="C0C0C0"/>
              <w:right w:val="single" w:sz="2" w:space="0" w:color="D8D8D8"/>
            </w:tcBorders>
            <w:shd w:val="clear" w:color="auto" w:fill="F7F9FC"/>
            <w:tcMar>
              <w:top w:w="90" w:type="dxa"/>
              <w:left w:w="120" w:type="dxa"/>
              <w:bottom w:w="90" w:type="dxa"/>
              <w:right w:w="120" w:type="dxa"/>
            </w:tcMar>
            <w:vAlign w:val="center"/>
            <w:hideMark/>
          </w:tcPr>
          <w:p w14:paraId="1F46F04D"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Resource requirements</w:t>
            </w:r>
          </w:p>
        </w:tc>
        <w:tc>
          <w:tcPr>
            <w:tcW w:w="3600" w:type="dxa"/>
            <w:tcBorders>
              <w:top w:val="single" w:sz="2" w:space="0" w:color="D8D8D8"/>
              <w:left w:val="single" w:sz="2" w:space="0" w:color="D8D8D8"/>
              <w:bottom w:val="single" w:sz="4" w:space="0" w:color="C0C0C0"/>
              <w:right w:val="single" w:sz="2" w:space="0" w:color="D8D8D8"/>
            </w:tcBorders>
            <w:shd w:val="clear" w:color="auto" w:fill="F7F9FC"/>
            <w:tcMar>
              <w:top w:w="90" w:type="dxa"/>
              <w:left w:w="120" w:type="dxa"/>
              <w:bottom w:w="90" w:type="dxa"/>
              <w:right w:w="120" w:type="dxa"/>
            </w:tcMar>
            <w:vAlign w:val="center"/>
            <w:hideMark/>
          </w:tcPr>
          <w:p w14:paraId="7F7D7247"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Low computational cost</w:t>
            </w:r>
          </w:p>
        </w:tc>
        <w:tc>
          <w:tcPr>
            <w:tcW w:w="3650" w:type="dxa"/>
            <w:tcBorders>
              <w:top w:val="single" w:sz="2" w:space="0" w:color="D8D8D8"/>
              <w:left w:val="single" w:sz="2" w:space="0" w:color="D8D8D8"/>
              <w:bottom w:val="single" w:sz="4" w:space="0" w:color="C0C0C0"/>
              <w:right w:val="single" w:sz="4" w:space="0" w:color="C0C0C0"/>
            </w:tcBorders>
            <w:shd w:val="clear" w:color="auto" w:fill="F7F9FC"/>
            <w:tcMar>
              <w:top w:w="90" w:type="dxa"/>
              <w:left w:w="120" w:type="dxa"/>
              <w:bottom w:w="90" w:type="dxa"/>
              <w:right w:w="120" w:type="dxa"/>
            </w:tcMar>
            <w:vAlign w:val="center"/>
            <w:hideMark/>
          </w:tcPr>
          <w:p w14:paraId="0A960E1C"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Higher computational cost for training and inference, though inference at scale is manageable with modern infrastructure</w:t>
            </w:r>
          </w:p>
        </w:tc>
      </w:tr>
    </w:tbl>
    <w:p w14:paraId="7FA9BBBA"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Effectiveness Against Evolving Spam Patterns</w:t>
      </w:r>
    </w:p>
    <w:p w14:paraId="2D93D0B9"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Rule-based systems lag behind evolving spam because they are inherently reactive: a rule can only block a pattern that has already been identified and encoded. ML-based systems, particularly those using content features (word embeddings, structural patterns, link/attachment characteristics) rather than exact keyword matches, generalize better to variations of known spam campaigns and can be continuously improved through retraining on newly reported samples — making them more resilient to attackers' constant tactic changes, though they are not immune to adversarial evasion attempts designed specifically to fool the model.</w:t>
      </w:r>
    </w:p>
    <w:p w14:paraId="1ABB1051"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Minimizing False Positives</w:t>
      </w:r>
    </w:p>
    <w:p w14:paraId="156DB55E"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Neither approach is inherently free of false positives. Rule-based systems produce false positives when a rule is too broad (e.g., blocking any email containing 'free' or 'urgent', which also appear in legitimate business email). ML-based systems can reduce this by learning more nuanced, context-sensitive combinations of features rather than a single trigger word, and by allowing threshold tuning to balance precision and recall — but they require good-quality, representative training data, or they risk learning spurious correlations that misclassify legitimate mail from underrepresented senders.</w:t>
      </w:r>
    </w:p>
    <w:tbl>
      <w:tblPr>
        <w:tblW w:w="9350" w:type="dxa"/>
        <w:tblBorders>
          <w:top w:val="single" w:sz="4" w:space="0" w:color="BFE3C8"/>
          <w:left w:val="single" w:sz="4" w:space="0" w:color="BFE3C8"/>
          <w:bottom w:val="single" w:sz="4" w:space="0" w:color="BFE3C8"/>
          <w:right w:val="single" w:sz="4" w:space="0" w:color="BFE3C8"/>
        </w:tblBorders>
        <w:tblCellMar>
          <w:left w:w="10" w:type="dxa"/>
          <w:right w:w="10" w:type="dxa"/>
        </w:tblCellMar>
        <w:tblLook w:val="04A0" w:firstRow="1" w:lastRow="0" w:firstColumn="1" w:lastColumn="0" w:noHBand="0" w:noVBand="1"/>
      </w:tblPr>
      <w:tblGrid>
        <w:gridCol w:w="9350"/>
      </w:tblGrid>
      <w:tr w:rsidR="00C374CC" w:rsidRPr="00C374CC" w14:paraId="4993F825" w14:textId="77777777">
        <w:tc>
          <w:tcPr>
            <w:tcW w:w="9350" w:type="dxa"/>
            <w:tcBorders>
              <w:top w:val="single" w:sz="4" w:space="0" w:color="BFE3C8"/>
              <w:left w:val="single" w:sz="4" w:space="0" w:color="BFE3C8"/>
              <w:bottom w:val="single" w:sz="4" w:space="0" w:color="BFE3C8"/>
              <w:right w:val="single" w:sz="4" w:space="0" w:color="BFE3C8"/>
            </w:tcBorders>
            <w:shd w:val="clear" w:color="auto" w:fill="EFFAF1"/>
            <w:tcMar>
              <w:top w:w="140" w:type="dxa"/>
              <w:left w:w="180" w:type="dxa"/>
              <w:bottom w:w="140" w:type="dxa"/>
              <w:right w:w="180" w:type="dxa"/>
            </w:tcMar>
            <w:hideMark/>
          </w:tcPr>
          <w:p w14:paraId="2CD384A2"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Overall evaluation: A hybrid approach outperforms either technique alone: rule-based checks (especially deterministic header/authentication checks like SPF/DKIM/DMARC) provide fast, explainable, low-cost filtering for known-bad patterns, while an ML-based content classifier — continuously retrained on new samples and combined with a tiered response (allow/warn/quarantine) rather than a binary block — handles evolving and previously unseen spam patterns with better adaptability and, when properly tuned, fewer disruptive false positives than a purely static rule set.</w:t>
            </w:r>
          </w:p>
        </w:tc>
      </w:tr>
    </w:tbl>
    <w:p w14:paraId="4CA36D3F"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br w:type="page"/>
      </w:r>
    </w:p>
    <w:p w14:paraId="34A2E081"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lastRenderedPageBreak/>
        <w:t>Question 5</w:t>
      </w:r>
    </w:p>
    <w:tbl>
      <w:tblPr>
        <w:tblW w:w="9350" w:type="dxa"/>
        <w:tblBorders>
          <w:top w:val="single" w:sz="4" w:space="0" w:color="C7D2E0"/>
          <w:left w:val="single" w:sz="4" w:space="0" w:color="C7D2E0"/>
          <w:bottom w:val="single" w:sz="4" w:space="0" w:color="C7D2E0"/>
          <w:right w:val="single" w:sz="4" w:space="0" w:color="C7D2E0"/>
        </w:tblBorders>
        <w:tblCellMar>
          <w:left w:w="10" w:type="dxa"/>
          <w:right w:w="10" w:type="dxa"/>
        </w:tblCellMar>
        <w:tblLook w:val="04A0" w:firstRow="1" w:lastRow="0" w:firstColumn="1" w:lastColumn="0" w:noHBand="0" w:noVBand="1"/>
      </w:tblPr>
      <w:tblGrid>
        <w:gridCol w:w="2388"/>
        <w:gridCol w:w="3391"/>
        <w:gridCol w:w="3571"/>
      </w:tblGrid>
      <w:tr w:rsidR="00C374CC" w:rsidRPr="00C374CC" w14:paraId="6FCBE29D" w14:textId="77777777">
        <w:tc>
          <w:tcPr>
            <w:tcW w:w="9350" w:type="dxa"/>
            <w:gridSpan w:val="3"/>
            <w:tcBorders>
              <w:top w:val="single" w:sz="4" w:space="0" w:color="C7D2E0"/>
              <w:left w:val="single" w:sz="4" w:space="0" w:color="C7D2E0"/>
              <w:bottom w:val="nil"/>
              <w:right w:val="single" w:sz="4" w:space="0" w:color="C7D2E0"/>
            </w:tcBorders>
            <w:shd w:val="clear" w:color="auto" w:fill="EEF2F8"/>
            <w:tcMar>
              <w:top w:w="150" w:type="dxa"/>
              <w:left w:w="180" w:type="dxa"/>
              <w:bottom w:w="150" w:type="dxa"/>
              <w:right w:w="180" w:type="dxa"/>
            </w:tcMar>
            <w:hideMark/>
          </w:tcPr>
          <w:p w14:paraId="678B8DCD" w14:textId="1A9CFC34" w:rsidR="00C374CC" w:rsidRPr="00C374CC" w:rsidRDefault="00C374CC" w:rsidP="00C374CC">
            <w:pPr>
              <w:spacing w:after="19"/>
              <w:rPr>
                <w:rFonts w:ascii="Arial" w:eastAsia="Arial" w:hAnsi="Arial" w:cs="Arial"/>
                <w:sz w:val="24"/>
              </w:rPr>
            </w:pPr>
          </w:p>
        </w:tc>
      </w:tr>
      <w:tr w:rsidR="00C374CC" w:rsidRPr="00C374CC" w14:paraId="72316887" w14:textId="77777777">
        <w:trPr>
          <w:tblHeader/>
        </w:trPr>
        <w:tc>
          <w:tcPr>
            <w:tcW w:w="2100" w:type="dxa"/>
            <w:tcBorders>
              <w:top w:val="single" w:sz="2" w:space="0" w:color="D8D8D8"/>
              <w:left w:val="single" w:sz="4" w:space="0" w:color="C0C0C0"/>
              <w:bottom w:val="single" w:sz="2" w:space="0" w:color="D8D8D8"/>
              <w:right w:val="single" w:sz="2" w:space="0" w:color="D8D8D8"/>
            </w:tcBorders>
            <w:shd w:val="clear" w:color="auto" w:fill="1B2A41"/>
            <w:tcMar>
              <w:top w:w="100" w:type="dxa"/>
              <w:left w:w="120" w:type="dxa"/>
              <w:bottom w:w="100" w:type="dxa"/>
              <w:right w:w="120" w:type="dxa"/>
            </w:tcMar>
            <w:vAlign w:val="center"/>
            <w:hideMark/>
          </w:tcPr>
          <w:p w14:paraId="7BC18583" w14:textId="77777777" w:rsidR="00C374CC" w:rsidRPr="00C374CC" w:rsidRDefault="00C374CC" w:rsidP="00C374CC">
            <w:pPr>
              <w:spacing w:after="19"/>
              <w:rPr>
                <w:rFonts w:ascii="Arial" w:eastAsia="Arial" w:hAnsi="Arial" w:cs="Arial"/>
                <w:sz w:val="24"/>
              </w:rPr>
            </w:pPr>
            <w:r w:rsidRPr="00C374CC">
              <w:rPr>
                <w:rFonts w:ascii="Arial" w:eastAsia="Arial" w:hAnsi="Arial" w:cs="Arial"/>
                <w:color w:val="F2F2F2" w:themeColor="background1" w:themeShade="F2"/>
                <w:sz w:val="24"/>
              </w:rPr>
              <w:t>Aspect</w:t>
            </w:r>
          </w:p>
        </w:tc>
        <w:tc>
          <w:tcPr>
            <w:tcW w:w="3550" w:type="dxa"/>
            <w:tcBorders>
              <w:top w:val="single" w:sz="2" w:space="0" w:color="D8D8D8"/>
              <w:left w:val="single" w:sz="2" w:space="0" w:color="D8D8D8"/>
              <w:bottom w:val="single" w:sz="2" w:space="0" w:color="D8D8D8"/>
              <w:right w:val="single" w:sz="2" w:space="0" w:color="D8D8D8"/>
            </w:tcBorders>
            <w:shd w:val="clear" w:color="auto" w:fill="1B2A41"/>
            <w:tcMar>
              <w:top w:w="100" w:type="dxa"/>
              <w:left w:w="120" w:type="dxa"/>
              <w:bottom w:w="100" w:type="dxa"/>
              <w:right w:w="120" w:type="dxa"/>
            </w:tcMar>
            <w:vAlign w:val="center"/>
            <w:hideMark/>
          </w:tcPr>
          <w:p w14:paraId="4A2BE2C2" w14:textId="77777777" w:rsidR="00C374CC" w:rsidRPr="00C374CC" w:rsidRDefault="00C374CC" w:rsidP="00C374CC">
            <w:pPr>
              <w:spacing w:after="19"/>
              <w:rPr>
                <w:rFonts w:ascii="Arial" w:eastAsia="Arial" w:hAnsi="Arial" w:cs="Arial"/>
                <w:sz w:val="24"/>
              </w:rPr>
            </w:pPr>
            <w:r w:rsidRPr="00C374CC">
              <w:rPr>
                <w:rFonts w:ascii="Arial" w:eastAsia="Arial" w:hAnsi="Arial" w:cs="Arial"/>
                <w:color w:val="F2F2F2" w:themeColor="background1" w:themeShade="F2"/>
                <w:sz w:val="24"/>
              </w:rPr>
              <w:t>Manual Key Management</w:t>
            </w:r>
          </w:p>
        </w:tc>
        <w:tc>
          <w:tcPr>
            <w:tcW w:w="3700" w:type="dxa"/>
            <w:tcBorders>
              <w:top w:val="single" w:sz="2" w:space="0" w:color="D8D8D8"/>
              <w:left w:val="single" w:sz="2" w:space="0" w:color="D8D8D8"/>
              <w:bottom w:val="single" w:sz="2" w:space="0" w:color="D8D8D8"/>
              <w:right w:val="single" w:sz="4" w:space="0" w:color="C0C0C0"/>
            </w:tcBorders>
            <w:shd w:val="clear" w:color="auto" w:fill="1B2A41"/>
            <w:tcMar>
              <w:top w:w="100" w:type="dxa"/>
              <w:left w:w="120" w:type="dxa"/>
              <w:bottom w:w="100" w:type="dxa"/>
              <w:right w:w="120" w:type="dxa"/>
            </w:tcMar>
            <w:vAlign w:val="center"/>
            <w:hideMark/>
          </w:tcPr>
          <w:p w14:paraId="10A7032C" w14:textId="77777777" w:rsidR="00C374CC" w:rsidRPr="00C374CC" w:rsidRDefault="00C374CC" w:rsidP="00C374CC">
            <w:pPr>
              <w:spacing w:after="19"/>
              <w:rPr>
                <w:rFonts w:ascii="Arial" w:eastAsia="Arial" w:hAnsi="Arial" w:cs="Arial"/>
                <w:color w:val="F2F2F2" w:themeColor="background1" w:themeShade="F2"/>
                <w:sz w:val="24"/>
              </w:rPr>
            </w:pPr>
            <w:r w:rsidRPr="00C374CC">
              <w:rPr>
                <w:rFonts w:ascii="Arial" w:eastAsia="Arial" w:hAnsi="Arial" w:cs="Arial"/>
                <w:color w:val="F2F2F2" w:themeColor="background1" w:themeShade="F2"/>
                <w:sz w:val="24"/>
              </w:rPr>
              <w:t>Automated (IKE-Based) Key Management</w:t>
            </w:r>
          </w:p>
        </w:tc>
      </w:tr>
      <w:tr w:rsidR="00C374CC" w:rsidRPr="00C374CC" w14:paraId="5A3099AF" w14:textId="77777777">
        <w:tc>
          <w:tcPr>
            <w:tcW w:w="2100"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6C83F010"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Key establishment</w:t>
            </w:r>
          </w:p>
        </w:tc>
        <w:tc>
          <w:tcPr>
            <w:tcW w:w="3550"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1C9D7ABE"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Administrator manually configures pre-shared keys (PSKs) or static keys on each IPSec endpoint</w:t>
            </w:r>
          </w:p>
        </w:tc>
        <w:tc>
          <w:tcPr>
            <w:tcW w:w="3700"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607A9846"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IKE (IKEv1/IKEv2) dynamically negotiates keys using Diffie–Hellman exchange, authenticated via PSK or, preferably, digital certificates</w:t>
            </w:r>
          </w:p>
        </w:tc>
      </w:tr>
      <w:tr w:rsidR="00C374CC" w:rsidRPr="00C374CC" w14:paraId="6812F951" w14:textId="77777777">
        <w:tc>
          <w:tcPr>
            <w:tcW w:w="2100" w:type="dxa"/>
            <w:tcBorders>
              <w:top w:val="single" w:sz="2" w:space="0" w:color="D8D8D8"/>
              <w:left w:val="single" w:sz="4" w:space="0" w:color="C0C0C0"/>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1584A9C4"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Key rotation</w:t>
            </w:r>
          </w:p>
        </w:tc>
        <w:tc>
          <w:tcPr>
            <w:tcW w:w="3550" w:type="dxa"/>
            <w:tcBorders>
              <w:top w:val="single" w:sz="2" w:space="0" w:color="D8D8D8"/>
              <w:left w:val="single" w:sz="2" w:space="0" w:color="D8D8D8"/>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1D7179DB"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Rare and disruptive — requires coordinated manual changes across every affected endpoint simultaneously</w:t>
            </w:r>
          </w:p>
        </w:tc>
        <w:tc>
          <w:tcPr>
            <w:tcW w:w="3700" w:type="dxa"/>
            <w:tcBorders>
              <w:top w:val="single" w:sz="2" w:space="0" w:color="D8D8D8"/>
              <w:left w:val="single" w:sz="2" w:space="0" w:color="D8D8D8"/>
              <w:bottom w:val="single" w:sz="2" w:space="0" w:color="D8D8D8"/>
              <w:right w:val="single" w:sz="4" w:space="0" w:color="C0C0C0"/>
            </w:tcBorders>
            <w:shd w:val="clear" w:color="auto" w:fill="FFFFFF"/>
            <w:tcMar>
              <w:top w:w="90" w:type="dxa"/>
              <w:left w:w="120" w:type="dxa"/>
              <w:bottom w:w="90" w:type="dxa"/>
              <w:right w:w="120" w:type="dxa"/>
            </w:tcMar>
            <w:vAlign w:val="center"/>
            <w:hideMark/>
          </w:tcPr>
          <w:p w14:paraId="255C7C22"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Automatic periodic re-keying (CREATE_CHILD_SA in IKEv2) before SA expiry, with make-before-break switching and no manual intervention</w:t>
            </w:r>
          </w:p>
        </w:tc>
      </w:tr>
      <w:tr w:rsidR="00C374CC" w:rsidRPr="00C374CC" w14:paraId="03E4DCB9" w14:textId="77777777">
        <w:tc>
          <w:tcPr>
            <w:tcW w:w="2100"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3AF397E1"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Risk of mismatched/expired keys</w:t>
            </w:r>
          </w:p>
        </w:tc>
        <w:tc>
          <w:tcPr>
            <w:tcW w:w="3550"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2E166B74"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High — easy for one side to be updated while the other is missed, causing tunnel failures</w:t>
            </w:r>
          </w:p>
        </w:tc>
        <w:tc>
          <w:tcPr>
            <w:tcW w:w="3700"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2D251D61"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Low — both endpoints negotiate and refresh keys through the same protocol exchange, keeping them synchronized</w:t>
            </w:r>
          </w:p>
        </w:tc>
      </w:tr>
      <w:tr w:rsidR="00C374CC" w:rsidRPr="00C374CC" w14:paraId="06E8A063" w14:textId="77777777">
        <w:tc>
          <w:tcPr>
            <w:tcW w:w="2100" w:type="dxa"/>
            <w:tcBorders>
              <w:top w:val="single" w:sz="2" w:space="0" w:color="D8D8D8"/>
              <w:left w:val="single" w:sz="4" w:space="0" w:color="C0C0C0"/>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7DF44772"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Security exposure</w:t>
            </w:r>
          </w:p>
        </w:tc>
        <w:tc>
          <w:tcPr>
            <w:tcW w:w="3550" w:type="dxa"/>
            <w:tcBorders>
              <w:top w:val="single" w:sz="2" w:space="0" w:color="D8D8D8"/>
              <w:left w:val="single" w:sz="2" w:space="0" w:color="D8D8D8"/>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1F65E0FE"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Long-lived static keys increase the impact window if a key is compromised; PSKs are also vulnerable if weakly chosen or leaked in configuration files</w:t>
            </w:r>
          </w:p>
        </w:tc>
        <w:tc>
          <w:tcPr>
            <w:tcW w:w="3700" w:type="dxa"/>
            <w:tcBorders>
              <w:top w:val="single" w:sz="2" w:space="0" w:color="D8D8D8"/>
              <w:left w:val="single" w:sz="2" w:space="0" w:color="D8D8D8"/>
              <w:bottom w:val="single" w:sz="2" w:space="0" w:color="D8D8D8"/>
              <w:right w:val="single" w:sz="4" w:space="0" w:color="C0C0C0"/>
            </w:tcBorders>
            <w:shd w:val="clear" w:color="auto" w:fill="FFFFFF"/>
            <w:tcMar>
              <w:top w:w="90" w:type="dxa"/>
              <w:left w:w="120" w:type="dxa"/>
              <w:bottom w:w="90" w:type="dxa"/>
              <w:right w:w="120" w:type="dxa"/>
            </w:tcMar>
            <w:vAlign w:val="center"/>
            <w:hideMark/>
          </w:tcPr>
          <w:p w14:paraId="22753E6D"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Short-lived, frequently rotated session keys limit the exposure window; certificate-based authentication avoids shared-secret compromise risk</w:t>
            </w:r>
          </w:p>
        </w:tc>
      </w:tr>
      <w:tr w:rsidR="00C374CC" w:rsidRPr="00C374CC" w14:paraId="04C41874" w14:textId="77777777">
        <w:tc>
          <w:tcPr>
            <w:tcW w:w="2100"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255D9FB4"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Revocation</w:t>
            </w:r>
          </w:p>
        </w:tc>
        <w:tc>
          <w:tcPr>
            <w:tcW w:w="3550"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13C4768A"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Must be manually removed/changed on every affected device</w:t>
            </w:r>
          </w:p>
        </w:tc>
        <w:tc>
          <w:tcPr>
            <w:tcW w:w="3700"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73043DCF"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Certificate-based approach allows centralized revocation via CRL/OCSP, instantly effective across the enterprise</w:t>
            </w:r>
          </w:p>
        </w:tc>
      </w:tr>
      <w:tr w:rsidR="00C374CC" w:rsidRPr="00C374CC" w14:paraId="0C1182D3" w14:textId="77777777">
        <w:tc>
          <w:tcPr>
            <w:tcW w:w="2100" w:type="dxa"/>
            <w:tcBorders>
              <w:top w:val="single" w:sz="2" w:space="0" w:color="D8D8D8"/>
              <w:left w:val="single" w:sz="4" w:space="0" w:color="C0C0C0"/>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71EABD21"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Scalability</w:t>
            </w:r>
          </w:p>
        </w:tc>
        <w:tc>
          <w:tcPr>
            <w:tcW w:w="3550" w:type="dxa"/>
            <w:tcBorders>
              <w:top w:val="single" w:sz="2" w:space="0" w:color="D8D8D8"/>
              <w:left w:val="single" w:sz="2" w:space="0" w:color="D8D8D8"/>
              <w:bottom w:val="single" w:sz="2" w:space="0" w:color="D8D8D8"/>
              <w:right w:val="single" w:sz="2" w:space="0" w:color="D8D8D8"/>
            </w:tcBorders>
            <w:shd w:val="clear" w:color="auto" w:fill="FFFFFF"/>
            <w:tcMar>
              <w:top w:w="90" w:type="dxa"/>
              <w:left w:w="120" w:type="dxa"/>
              <w:bottom w:w="90" w:type="dxa"/>
              <w:right w:w="120" w:type="dxa"/>
            </w:tcMar>
            <w:vAlign w:val="center"/>
            <w:hideMark/>
          </w:tcPr>
          <w:p w14:paraId="55669485"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Poor — effort grows roughly with the number of endpoint pairs (O(n²) in a full-mesh topology)</w:t>
            </w:r>
          </w:p>
        </w:tc>
        <w:tc>
          <w:tcPr>
            <w:tcW w:w="3700" w:type="dxa"/>
            <w:tcBorders>
              <w:top w:val="single" w:sz="2" w:space="0" w:color="D8D8D8"/>
              <w:left w:val="single" w:sz="2" w:space="0" w:color="D8D8D8"/>
              <w:bottom w:val="single" w:sz="2" w:space="0" w:color="D8D8D8"/>
              <w:right w:val="single" w:sz="4" w:space="0" w:color="C0C0C0"/>
            </w:tcBorders>
            <w:shd w:val="clear" w:color="auto" w:fill="FFFFFF"/>
            <w:tcMar>
              <w:top w:w="90" w:type="dxa"/>
              <w:left w:w="120" w:type="dxa"/>
              <w:bottom w:w="90" w:type="dxa"/>
              <w:right w:w="120" w:type="dxa"/>
            </w:tcMar>
            <w:vAlign w:val="center"/>
            <w:hideMark/>
          </w:tcPr>
          <w:p w14:paraId="5B5CA422"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 xml:space="preserve">Good — new endpoints simply </w:t>
            </w:r>
            <w:proofErr w:type="spellStart"/>
            <w:r w:rsidRPr="00C374CC">
              <w:rPr>
                <w:rFonts w:ascii="Arial" w:eastAsia="Arial" w:hAnsi="Arial" w:cs="Arial"/>
                <w:sz w:val="24"/>
              </w:rPr>
              <w:t>enroll</w:t>
            </w:r>
            <w:proofErr w:type="spellEnd"/>
            <w:r w:rsidRPr="00C374CC">
              <w:rPr>
                <w:rFonts w:ascii="Arial" w:eastAsia="Arial" w:hAnsi="Arial" w:cs="Arial"/>
                <w:sz w:val="24"/>
              </w:rPr>
              <w:t xml:space="preserve"> into the existing PKI/IKE infrastructure; no pairwise manual key distribution needed</w:t>
            </w:r>
          </w:p>
        </w:tc>
      </w:tr>
      <w:tr w:rsidR="00C374CC" w:rsidRPr="00C374CC" w14:paraId="53FAB82C" w14:textId="77777777">
        <w:tc>
          <w:tcPr>
            <w:tcW w:w="2100" w:type="dxa"/>
            <w:tcBorders>
              <w:top w:val="single" w:sz="2" w:space="0" w:color="D8D8D8"/>
              <w:left w:val="single" w:sz="4" w:space="0" w:color="C0C0C0"/>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16D47D4C"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Operational complexity</w:t>
            </w:r>
          </w:p>
        </w:tc>
        <w:tc>
          <w:tcPr>
            <w:tcW w:w="3550" w:type="dxa"/>
            <w:tcBorders>
              <w:top w:val="single" w:sz="2" w:space="0" w:color="D8D8D8"/>
              <w:left w:val="single" w:sz="2" w:space="0" w:color="D8D8D8"/>
              <w:bottom w:val="single" w:sz="2" w:space="0" w:color="D8D8D8"/>
              <w:right w:val="single" w:sz="2" w:space="0" w:color="D8D8D8"/>
            </w:tcBorders>
            <w:shd w:val="clear" w:color="auto" w:fill="F7F9FC"/>
            <w:tcMar>
              <w:top w:w="90" w:type="dxa"/>
              <w:left w:w="120" w:type="dxa"/>
              <w:bottom w:w="90" w:type="dxa"/>
              <w:right w:w="120" w:type="dxa"/>
            </w:tcMar>
            <w:vAlign w:val="center"/>
            <w:hideMark/>
          </w:tcPr>
          <w:p w14:paraId="70D77944"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High ongoing administrative burden; error-prone at scale</w:t>
            </w:r>
          </w:p>
        </w:tc>
        <w:tc>
          <w:tcPr>
            <w:tcW w:w="3700" w:type="dxa"/>
            <w:tcBorders>
              <w:top w:val="single" w:sz="2" w:space="0" w:color="D8D8D8"/>
              <w:left w:val="single" w:sz="2" w:space="0" w:color="D8D8D8"/>
              <w:bottom w:val="single" w:sz="2" w:space="0" w:color="D8D8D8"/>
              <w:right w:val="single" w:sz="4" w:space="0" w:color="C0C0C0"/>
            </w:tcBorders>
            <w:shd w:val="clear" w:color="auto" w:fill="F7F9FC"/>
            <w:tcMar>
              <w:top w:w="90" w:type="dxa"/>
              <w:left w:w="120" w:type="dxa"/>
              <w:bottom w:w="90" w:type="dxa"/>
              <w:right w:w="120" w:type="dxa"/>
            </w:tcMar>
            <w:vAlign w:val="center"/>
            <w:hideMark/>
          </w:tcPr>
          <w:p w14:paraId="15540970"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Lower ongoing burden once the PKI/IKE infrastructure is established; initial setup complexity is higher but pays off at scale</w:t>
            </w:r>
          </w:p>
        </w:tc>
      </w:tr>
      <w:tr w:rsidR="00C374CC" w:rsidRPr="00C374CC" w14:paraId="229EF3B6" w14:textId="77777777">
        <w:tc>
          <w:tcPr>
            <w:tcW w:w="2100" w:type="dxa"/>
            <w:tcBorders>
              <w:top w:val="single" w:sz="2" w:space="0" w:color="D8D8D8"/>
              <w:left w:val="single" w:sz="4" w:space="0" w:color="C0C0C0"/>
              <w:bottom w:val="single" w:sz="4" w:space="0" w:color="C0C0C0"/>
              <w:right w:val="single" w:sz="2" w:space="0" w:color="D8D8D8"/>
            </w:tcBorders>
            <w:shd w:val="clear" w:color="auto" w:fill="FFFFFF"/>
            <w:tcMar>
              <w:top w:w="90" w:type="dxa"/>
              <w:left w:w="120" w:type="dxa"/>
              <w:bottom w:w="90" w:type="dxa"/>
              <w:right w:w="120" w:type="dxa"/>
            </w:tcMar>
            <w:vAlign w:val="center"/>
            <w:hideMark/>
          </w:tcPr>
          <w:p w14:paraId="54784973"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lastRenderedPageBreak/>
              <w:t>Fault tolerance</w:t>
            </w:r>
          </w:p>
        </w:tc>
        <w:tc>
          <w:tcPr>
            <w:tcW w:w="3550" w:type="dxa"/>
            <w:tcBorders>
              <w:top w:val="single" w:sz="2" w:space="0" w:color="D8D8D8"/>
              <w:left w:val="single" w:sz="2" w:space="0" w:color="D8D8D8"/>
              <w:bottom w:val="single" w:sz="4" w:space="0" w:color="C0C0C0"/>
              <w:right w:val="single" w:sz="2" w:space="0" w:color="D8D8D8"/>
            </w:tcBorders>
            <w:shd w:val="clear" w:color="auto" w:fill="FFFFFF"/>
            <w:tcMar>
              <w:top w:w="90" w:type="dxa"/>
              <w:left w:w="120" w:type="dxa"/>
              <w:bottom w:w="90" w:type="dxa"/>
              <w:right w:w="120" w:type="dxa"/>
            </w:tcMar>
            <w:vAlign w:val="center"/>
            <w:hideMark/>
          </w:tcPr>
          <w:p w14:paraId="25A695F9"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A single missed manual update can cause an outage until corrected by hand</w:t>
            </w:r>
          </w:p>
        </w:tc>
        <w:tc>
          <w:tcPr>
            <w:tcW w:w="3700" w:type="dxa"/>
            <w:tcBorders>
              <w:top w:val="single" w:sz="2" w:space="0" w:color="D8D8D8"/>
              <w:left w:val="single" w:sz="2" w:space="0" w:color="D8D8D8"/>
              <w:bottom w:val="single" w:sz="4" w:space="0" w:color="C0C0C0"/>
              <w:right w:val="single" w:sz="4" w:space="0" w:color="C0C0C0"/>
            </w:tcBorders>
            <w:shd w:val="clear" w:color="auto" w:fill="FFFFFF"/>
            <w:tcMar>
              <w:top w:w="90" w:type="dxa"/>
              <w:left w:w="120" w:type="dxa"/>
              <w:bottom w:w="90" w:type="dxa"/>
              <w:right w:w="120" w:type="dxa"/>
            </w:tcMar>
            <w:vAlign w:val="center"/>
            <w:hideMark/>
          </w:tcPr>
          <w:p w14:paraId="02D43918"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Dead Peer Detection and automatic re-negotiation recover from transient failures without administrator action</w:t>
            </w:r>
          </w:p>
        </w:tc>
      </w:tr>
    </w:tbl>
    <w:p w14:paraId="46F8441E"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Impact in Large Organizations</w:t>
      </w:r>
    </w:p>
    <w:p w14:paraId="3D5A09D1"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In a large organization with many branch offices, partners, or remote users, manual key management becomes operationally unsustainable: the number of pairwise keys to track grows quickly, rotation is rarely performed because it is disruptive, and the risk of configuration drift (mismatched lifetimes, forgotten updates) directly causes the expired/mismatched-key symptoms that manual approaches are prone to. Automated IKE-based key management, especially when paired with a certificate-based enterprise PKI, decouples the effort of adding or removing an endpoint from the number of existing endpoints, supports continuous key rotation without service disruption, and provides centralized, auditable control over both key issuance and revocation.</w:t>
      </w:r>
    </w:p>
    <w:tbl>
      <w:tblPr>
        <w:tblW w:w="9350" w:type="dxa"/>
        <w:tblBorders>
          <w:top w:val="single" w:sz="4" w:space="0" w:color="BFE3C8"/>
          <w:left w:val="single" w:sz="4" w:space="0" w:color="BFE3C8"/>
          <w:bottom w:val="single" w:sz="4" w:space="0" w:color="BFE3C8"/>
          <w:right w:val="single" w:sz="4" w:space="0" w:color="BFE3C8"/>
        </w:tblBorders>
        <w:tblCellMar>
          <w:left w:w="10" w:type="dxa"/>
          <w:right w:w="10" w:type="dxa"/>
        </w:tblCellMar>
        <w:tblLook w:val="04A0" w:firstRow="1" w:lastRow="0" w:firstColumn="1" w:lastColumn="0" w:noHBand="0" w:noVBand="1"/>
      </w:tblPr>
      <w:tblGrid>
        <w:gridCol w:w="9350"/>
      </w:tblGrid>
      <w:tr w:rsidR="00C374CC" w:rsidRPr="00C374CC" w14:paraId="6238F488" w14:textId="77777777">
        <w:tc>
          <w:tcPr>
            <w:tcW w:w="9350" w:type="dxa"/>
            <w:tcBorders>
              <w:top w:val="single" w:sz="4" w:space="0" w:color="BFE3C8"/>
              <w:left w:val="single" w:sz="4" w:space="0" w:color="BFE3C8"/>
              <w:bottom w:val="single" w:sz="4" w:space="0" w:color="BFE3C8"/>
              <w:right w:val="single" w:sz="4" w:space="0" w:color="BFE3C8"/>
            </w:tcBorders>
            <w:shd w:val="clear" w:color="auto" w:fill="EFFAF1"/>
            <w:tcMar>
              <w:top w:w="140" w:type="dxa"/>
              <w:left w:w="180" w:type="dxa"/>
              <w:bottom w:w="140" w:type="dxa"/>
              <w:right w:w="180" w:type="dxa"/>
            </w:tcMar>
            <w:hideMark/>
          </w:tcPr>
          <w:p w14:paraId="42376560" w14:textId="77777777" w:rsidR="00C374CC" w:rsidRPr="00C374CC" w:rsidRDefault="00C374CC" w:rsidP="00C374CC">
            <w:pPr>
              <w:spacing w:after="19"/>
              <w:rPr>
                <w:rFonts w:ascii="Arial" w:eastAsia="Arial" w:hAnsi="Arial" w:cs="Arial"/>
                <w:sz w:val="24"/>
              </w:rPr>
            </w:pPr>
            <w:r w:rsidRPr="00C374CC">
              <w:rPr>
                <w:rFonts w:ascii="Arial" w:eastAsia="Arial" w:hAnsi="Arial" w:cs="Arial"/>
                <w:sz w:val="24"/>
              </w:rPr>
              <w:t>Overall evaluation: Automated IKE-based key management is clearly superior for large organizations across all three dimensions: it improves security through short-lived keys and centralized revocation, improves scalability by removing the pairwise manual-configuration burden, and reduces operational complexity through automatic re-keying and fault recovery. Manual key management may remain acceptable only for very small deployments with a handful of static, rarely-changing tunnels, but does not scale to enterprise environments.</w:t>
            </w:r>
          </w:p>
        </w:tc>
      </w:tr>
    </w:tbl>
    <w:p w14:paraId="6D66D365" w14:textId="3E09EB62" w:rsidR="000D0CC2" w:rsidRPr="00C374CC" w:rsidRDefault="000D0CC2">
      <w:pPr>
        <w:spacing w:after="19"/>
      </w:pPr>
    </w:p>
    <w:p w14:paraId="1CC8CCBE" w14:textId="77777777" w:rsidR="000D0CC2" w:rsidRPr="00C374CC" w:rsidRDefault="00000000">
      <w:pPr>
        <w:spacing w:after="19"/>
      </w:pPr>
      <w:r w:rsidRPr="00C374CC">
        <w:rPr>
          <w:rFonts w:ascii="Arial" w:eastAsia="Arial" w:hAnsi="Arial" w:cs="Arial"/>
          <w:sz w:val="24"/>
        </w:rPr>
        <w:t xml:space="preserve"> </w:t>
      </w:r>
    </w:p>
    <w:p w14:paraId="5E636306" w14:textId="77777777" w:rsidR="000D0CC2" w:rsidRPr="00C374CC" w:rsidRDefault="00000000">
      <w:pPr>
        <w:spacing w:after="24"/>
      </w:pPr>
      <w:r w:rsidRPr="00C374CC">
        <w:rPr>
          <w:rFonts w:ascii="Arial" w:eastAsia="Arial" w:hAnsi="Arial" w:cs="Arial"/>
          <w:sz w:val="24"/>
        </w:rPr>
        <w:t xml:space="preserve"> </w:t>
      </w:r>
    </w:p>
    <w:p w14:paraId="25DABA64" w14:textId="77777777" w:rsidR="000D0CC2" w:rsidRPr="00C374CC" w:rsidRDefault="00000000">
      <w:pPr>
        <w:spacing w:after="19"/>
      </w:pPr>
      <w:r w:rsidRPr="00C374CC">
        <w:rPr>
          <w:rFonts w:ascii="Arial" w:eastAsia="Arial" w:hAnsi="Arial" w:cs="Arial"/>
          <w:sz w:val="24"/>
        </w:rPr>
        <w:t xml:space="preserve"> </w:t>
      </w:r>
    </w:p>
    <w:p w14:paraId="532D66AB" w14:textId="77777777" w:rsidR="000D0CC2" w:rsidRPr="00C374CC" w:rsidRDefault="00000000">
      <w:pPr>
        <w:spacing w:after="19"/>
      </w:pPr>
      <w:r w:rsidRPr="00C374CC">
        <w:rPr>
          <w:rFonts w:ascii="Arial" w:eastAsia="Arial" w:hAnsi="Arial" w:cs="Arial"/>
          <w:sz w:val="24"/>
        </w:rPr>
        <w:t xml:space="preserve"> </w:t>
      </w:r>
    </w:p>
    <w:p w14:paraId="0FC88DE2" w14:textId="77777777" w:rsidR="000D0CC2" w:rsidRPr="00C374CC" w:rsidRDefault="00000000">
      <w:pPr>
        <w:spacing w:after="19"/>
      </w:pPr>
      <w:r w:rsidRPr="00C374CC">
        <w:rPr>
          <w:rFonts w:ascii="Arial" w:eastAsia="Arial" w:hAnsi="Arial" w:cs="Arial"/>
          <w:sz w:val="24"/>
        </w:rPr>
        <w:t xml:space="preserve"> </w:t>
      </w:r>
    </w:p>
    <w:p w14:paraId="1BF7CFD3" w14:textId="77777777" w:rsidR="000D0CC2" w:rsidRPr="00C374CC" w:rsidRDefault="00000000">
      <w:pPr>
        <w:spacing w:after="0"/>
      </w:pPr>
      <w:r w:rsidRPr="00C374CC">
        <w:rPr>
          <w:rFonts w:ascii="Arial" w:eastAsia="Arial" w:hAnsi="Arial" w:cs="Arial"/>
          <w:sz w:val="24"/>
        </w:rPr>
        <w:t xml:space="preserve"> </w:t>
      </w:r>
    </w:p>
    <w:sectPr w:rsidR="000D0CC2" w:rsidRPr="00C374CC">
      <w:pgSz w:w="11909" w:h="16834"/>
      <w:pgMar w:top="1491" w:right="922" w:bottom="14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709D"/>
    <w:multiLevelType w:val="hybridMultilevel"/>
    <w:tmpl w:val="DAD6EFF2"/>
    <w:lvl w:ilvl="0" w:tplc="BC325F74">
      <w:start w:val="1"/>
      <w:numFmt w:val="bullet"/>
      <w:lvlText w:val="●"/>
      <w:lvlJc w:val="left"/>
      <w:pPr>
        <w:ind w:left="720" w:hanging="360"/>
      </w:pPr>
    </w:lvl>
    <w:lvl w:ilvl="1" w:tplc="8176FE4A">
      <w:start w:val="1"/>
      <w:numFmt w:val="bullet"/>
      <w:lvlText w:val="○"/>
      <w:lvlJc w:val="left"/>
      <w:pPr>
        <w:ind w:left="1440" w:hanging="360"/>
      </w:pPr>
    </w:lvl>
    <w:lvl w:ilvl="2" w:tplc="29341202">
      <w:start w:val="1"/>
      <w:numFmt w:val="bullet"/>
      <w:lvlText w:val="■"/>
      <w:lvlJc w:val="left"/>
      <w:pPr>
        <w:ind w:left="2160" w:hanging="360"/>
      </w:pPr>
    </w:lvl>
    <w:lvl w:ilvl="3" w:tplc="37C4D486">
      <w:start w:val="1"/>
      <w:numFmt w:val="bullet"/>
      <w:lvlText w:val="●"/>
      <w:lvlJc w:val="left"/>
      <w:pPr>
        <w:ind w:left="2880" w:hanging="360"/>
      </w:pPr>
    </w:lvl>
    <w:lvl w:ilvl="4" w:tplc="A5B0FB62">
      <w:start w:val="1"/>
      <w:numFmt w:val="bullet"/>
      <w:lvlText w:val="○"/>
      <w:lvlJc w:val="left"/>
      <w:pPr>
        <w:ind w:left="3600" w:hanging="360"/>
      </w:pPr>
    </w:lvl>
    <w:lvl w:ilvl="5" w:tplc="A65C8BF6">
      <w:start w:val="1"/>
      <w:numFmt w:val="bullet"/>
      <w:lvlText w:val="■"/>
      <w:lvlJc w:val="left"/>
      <w:pPr>
        <w:ind w:left="4320" w:hanging="360"/>
      </w:pPr>
    </w:lvl>
    <w:lvl w:ilvl="6" w:tplc="FC1C6D9E">
      <w:start w:val="1"/>
      <w:numFmt w:val="bullet"/>
      <w:lvlText w:val="●"/>
      <w:lvlJc w:val="left"/>
      <w:pPr>
        <w:ind w:left="5040" w:hanging="360"/>
      </w:pPr>
    </w:lvl>
    <w:lvl w:ilvl="7" w:tplc="D0D66270">
      <w:start w:val="1"/>
      <w:numFmt w:val="bullet"/>
      <w:lvlText w:val="●"/>
      <w:lvlJc w:val="left"/>
      <w:pPr>
        <w:ind w:left="5760" w:hanging="360"/>
      </w:pPr>
    </w:lvl>
    <w:lvl w:ilvl="8" w:tplc="EF22B254">
      <w:start w:val="1"/>
      <w:numFmt w:val="bullet"/>
      <w:lvlText w:val="●"/>
      <w:lvlJc w:val="left"/>
      <w:pPr>
        <w:ind w:left="6480" w:hanging="360"/>
      </w:pPr>
    </w:lvl>
  </w:abstractNum>
  <w:abstractNum w:abstractNumId="1" w15:restartNumberingAfterBreak="0">
    <w:nsid w:val="20743723"/>
    <w:multiLevelType w:val="hybridMultilevel"/>
    <w:tmpl w:val="BA8ABAC4"/>
    <w:lvl w:ilvl="0" w:tplc="6522328C">
      <w:start w:val="1"/>
      <w:numFmt w:val="decimal"/>
      <w:lvlText w:val="%1."/>
      <w:lvlJc w:val="left"/>
      <w:pPr>
        <w:ind w:left="70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2CC1DE8">
      <w:start w:val="1"/>
      <w:numFmt w:val="lowerLetter"/>
      <w:lvlText w:val="%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42E90D6">
      <w:start w:val="1"/>
      <w:numFmt w:val="lowerRoman"/>
      <w:lvlText w:val="%3"/>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BE40990">
      <w:start w:val="1"/>
      <w:numFmt w:val="decimal"/>
      <w:lvlText w:val="%4"/>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E7AD936">
      <w:start w:val="1"/>
      <w:numFmt w:val="lowerLetter"/>
      <w:lvlText w:val="%5"/>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A7C54F6">
      <w:start w:val="1"/>
      <w:numFmt w:val="lowerRoman"/>
      <w:lvlText w:val="%6"/>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2EEE818">
      <w:start w:val="1"/>
      <w:numFmt w:val="decimal"/>
      <w:lvlText w:val="%7"/>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AAC8946">
      <w:start w:val="1"/>
      <w:numFmt w:val="lowerLetter"/>
      <w:lvlText w:val="%8"/>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960F286">
      <w:start w:val="1"/>
      <w:numFmt w:val="lowerRoman"/>
      <w:lvlText w:val="%9"/>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791552795">
    <w:abstractNumId w:val="1"/>
  </w:num>
  <w:num w:numId="2" w16cid:durableId="161998871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CC2"/>
    <w:rsid w:val="000D0CC2"/>
    <w:rsid w:val="0080682D"/>
    <w:rsid w:val="00C37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236CC"/>
  <w15:docId w15:val="{D1E50566-3F9C-47B5-85B2-3801E5466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2"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C374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basedOn w:val="DefaultParagraphFont"/>
    <w:link w:val="Heading2"/>
    <w:uiPriority w:val="9"/>
    <w:semiHidden/>
    <w:rsid w:val="00C374C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2432</Words>
  <Characters>13864</Characters>
  <Application>Microsoft Office Word</Application>
  <DocSecurity>0</DocSecurity>
  <Lines>115</Lines>
  <Paragraphs>32</Paragraphs>
  <ScaleCrop>false</ScaleCrop>
  <Company/>
  <LinksUpToDate>false</LinksUpToDate>
  <CharactersWithSpaces>16264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Deena</dc:creator>
  <cp:keywords/>
  <cp:lastModifiedBy>dharani karthick</cp:lastModifiedBy>
  <cp:revision>2</cp:revision>
  <dcterms:created xsi:type="dcterms:W3CDTF">2026-08-21T03:41:00Z</dcterms:created>
  <dcterms:modified xsi:type="dcterms:W3CDTF">2026-08-21T03:41:00Z</dcterms:modified>
</cp:coreProperties>
</file>