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C41" w:rsidRPr="00E31553" w:rsidRDefault="005A0DE8">
      <w:pPr>
        <w:jc w:val="center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b/>
          <w:color w:val="2D6991"/>
          <w:sz w:val="24"/>
          <w:szCs w:val="24"/>
        </w:rPr>
        <w:t>PHARMACOVIGILANCE INTERNSHIP</w:t>
      </w:r>
    </w:p>
    <w:p w:rsidR="00F26C41" w:rsidRPr="00E31553" w:rsidRDefault="005A0DE8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Task 1: ADR Identification</w:t>
      </w:r>
    </w:p>
    <w:p w:rsidR="00F26C41" w:rsidRPr="00E31553" w:rsidRDefault="005A0DE8">
      <w:pPr>
        <w:jc w:val="center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i/>
          <w:color w:val="5F6973"/>
          <w:sz w:val="24"/>
          <w:szCs w:val="24"/>
        </w:rPr>
        <w:t>Medication timeline correlation • Suspect drug assessment • Structured summary</w:t>
      </w:r>
    </w:p>
    <w:p w:rsidR="00F26C41" w:rsidRPr="00E31553" w:rsidRDefault="00F26C41" w:rsidP="006121E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26C41" w:rsidRPr="00E31553">
        <w:trPr>
          <w:jc w:val="center"/>
        </w:trPr>
        <w:tc>
          <w:tcPr>
            <w:tcW w:w="5184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Submitted by</w:t>
            </w:r>
          </w:p>
        </w:tc>
        <w:tc>
          <w:tcPr>
            <w:tcW w:w="5184" w:type="dxa"/>
            <w:shd w:val="clear" w:color="auto" w:fill="F2F6FA"/>
            <w:vAlign w:val="center"/>
          </w:tcPr>
          <w:p w:rsidR="00F26C41" w:rsidRPr="00E31553" w:rsidRDefault="008408EB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Y. Dharani Krupa</w:t>
            </w:r>
          </w:p>
        </w:tc>
      </w:tr>
      <w:tr w:rsidR="00F26C41" w:rsidRPr="00E31553">
        <w:trPr>
          <w:jc w:val="center"/>
        </w:trPr>
        <w:tc>
          <w:tcPr>
            <w:tcW w:w="5184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Internship / Organisation</w:t>
            </w:r>
          </w:p>
        </w:tc>
        <w:tc>
          <w:tcPr>
            <w:tcW w:w="5184" w:type="dxa"/>
            <w:shd w:val="clear" w:color="auto" w:fill="F2F6FA"/>
            <w:vAlign w:val="center"/>
          </w:tcPr>
          <w:p w:rsidR="00F26C41" w:rsidRPr="00E31553" w:rsidRDefault="008408EB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Workora</w:t>
            </w:r>
            <w:proofErr w:type="spellEnd"/>
          </w:p>
        </w:tc>
      </w:tr>
      <w:tr w:rsidR="00F26C41" w:rsidRPr="00E31553">
        <w:trPr>
          <w:jc w:val="center"/>
        </w:trPr>
        <w:tc>
          <w:tcPr>
            <w:tcW w:w="5184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518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Task 1 – ADR Identification</w:t>
            </w:r>
          </w:p>
        </w:tc>
      </w:tr>
      <w:tr w:rsidR="00F26C41" w:rsidRPr="00E31553">
        <w:trPr>
          <w:jc w:val="center"/>
        </w:trPr>
        <w:tc>
          <w:tcPr>
            <w:tcW w:w="5184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Submission date</w:t>
            </w:r>
          </w:p>
        </w:tc>
        <w:tc>
          <w:tcPr>
            <w:tcW w:w="5184" w:type="dxa"/>
            <w:shd w:val="clear" w:color="auto" w:fill="F2F6FA"/>
            <w:vAlign w:val="center"/>
          </w:tcPr>
          <w:p w:rsidR="00F26C41" w:rsidRPr="00E31553" w:rsidRDefault="008408EB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27-10-2026</w:t>
            </w:r>
          </w:p>
        </w:tc>
      </w:tr>
    </w:tbl>
    <w:p w:rsidR="00F26C41" w:rsidRPr="00E31553" w:rsidRDefault="005A0DE8" w:rsidP="006121E7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1. Objective</w:t>
      </w:r>
      <w:bookmarkStart w:id="0" w:name="_GoBack"/>
      <w:bookmarkEnd w:id="0"/>
    </w:p>
    <w:p w:rsidR="00F26C41" w:rsidRPr="00E31553" w:rsidRDefault="005A0DE8" w:rsidP="006121E7">
      <w:pPr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To correlate reported medication exposure timelines with adverse event onset, distinguish the primary suspect product from concomitant medicines using standard pharmacovigilance principles, and prepare a str</w:t>
      </w:r>
      <w:r w:rsidRPr="00E31553">
        <w:rPr>
          <w:rFonts w:ascii="Times New Roman" w:hAnsi="Times New Roman" w:cs="Times New Roman"/>
          <w:sz w:val="24"/>
          <w:szCs w:val="24"/>
        </w:rPr>
        <w:t>uctured ADR identification summary.</w:t>
      </w:r>
    </w:p>
    <w:p w:rsidR="00F26C41" w:rsidRPr="00E31553" w:rsidRDefault="005A0DE8" w:rsidP="006121E7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2. Data source and method</w:t>
      </w:r>
    </w:p>
    <w:p w:rsidR="00F26C41" w:rsidRPr="00E31553" w:rsidRDefault="005A0DE8" w:rsidP="006121E7">
      <w:pPr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The analysis uses the WORKORA Synthetic Pharmacovigilance Training Pack containing 18 fictional, de-identified case scenarios. For each case, the recorded suspect product, dose, route, indicatio</w:t>
      </w:r>
      <w:r w:rsidRPr="00E31553">
        <w:rPr>
          <w:rFonts w:ascii="Times New Roman" w:hAnsi="Times New Roman" w:cs="Times New Roman"/>
          <w:sz w:val="24"/>
          <w:szCs w:val="24"/>
        </w:rPr>
        <w:t>n, reaction, onset interval, expectedness reference, seriousness, dechallenge, rechallenge, concomitant medicines, outcome and reporter were reviewed.</w:t>
      </w:r>
    </w:p>
    <w:p w:rsidR="00F26C41" w:rsidRPr="00E31553" w:rsidRDefault="005A0DE8" w:rsidP="006121E7">
      <w:pPr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Assessment principles: (1) temporality between drug initiation and event onset; (2) known pharmacological</w:t>
      </w:r>
      <w:r w:rsidRPr="00E31553">
        <w:rPr>
          <w:rFonts w:ascii="Times New Roman" w:hAnsi="Times New Roman" w:cs="Times New Roman"/>
          <w:sz w:val="24"/>
          <w:szCs w:val="24"/>
        </w:rPr>
        <w:t xml:space="preserve"> plausibility; (3) dechallenge/rechallenge information; (4) alternative explanations and possible interactions; and (5) completeness and consistency of the source data. These are screening assessments only, not definitive causality determinations.</w:t>
      </w:r>
    </w:p>
    <w:p w:rsidR="00F26C41" w:rsidRPr="00E31553" w:rsidRDefault="005A0DE8" w:rsidP="006121E7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3. Medic</w:t>
      </w:r>
      <w:r w:rsidRPr="00E31553">
        <w:rPr>
          <w:rFonts w:ascii="Times New Roman" w:hAnsi="Times New Roman" w:cs="Times New Roman"/>
          <w:sz w:val="24"/>
          <w:szCs w:val="24"/>
        </w:rPr>
        <w:t>ation timeline correlation</w:t>
      </w:r>
    </w:p>
    <w:p w:rsidR="00F26C41" w:rsidRPr="00E31553" w:rsidRDefault="005A0DE8" w:rsidP="006121E7">
      <w:pPr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The source pack reports onset as the number of days after treatment began. Exact calendar start dates, event dates, treatment stop dates and detailed clinical records are not supplied; therefore, relative onset intervals are repo</w:t>
      </w:r>
      <w:r w:rsidRPr="00E31553">
        <w:rPr>
          <w:rFonts w:ascii="Times New Roman" w:hAnsi="Times New Roman" w:cs="Times New Roman"/>
          <w:sz w:val="24"/>
          <w:szCs w:val="24"/>
        </w:rPr>
        <w:t>rted without inventing dates.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F26C41" w:rsidRPr="00E31553">
        <w:trPr>
          <w:tblHeader/>
          <w:jc w:val="center"/>
        </w:trPr>
        <w:tc>
          <w:tcPr>
            <w:tcW w:w="2074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Case ID</w:t>
            </w:r>
          </w:p>
        </w:tc>
        <w:tc>
          <w:tcPr>
            <w:tcW w:w="2074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Suspect product</w:t>
            </w:r>
          </w:p>
        </w:tc>
        <w:tc>
          <w:tcPr>
            <w:tcW w:w="2074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Reported reaction</w:t>
            </w:r>
          </w:p>
        </w:tc>
        <w:tc>
          <w:tcPr>
            <w:tcW w:w="2074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Onset after start</w:t>
            </w:r>
          </w:p>
        </w:tc>
        <w:tc>
          <w:tcPr>
            <w:tcW w:w="2074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Dechallenge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SYN-PV-001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Rash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17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SYN-PV-002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Atorvastatin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Myalgia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SYN-PV-003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Metformin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Nausea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13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SYN-PV-004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Amlodipine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Peripheral oedema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21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SYN-PV-005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Ciprofloxacin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Tendon pain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15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SYN-PV-006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Sertraline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Dizziness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SYN-PV-007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Omeprazole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16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SYN-PV-008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Losartan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SYN-PV-009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Rash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7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SYN-PV-010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Atorvastatin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Myalgia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21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SYN-PV-011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Metformin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Nausea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19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SYN-PV-012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Amlodipine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Peripheral oedema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SYN-PV-013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Ciprofloxacin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Tendon pain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SYN-PV-014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Sertraline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Dizziness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9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SYN-PV-015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Omeprazole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16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SYN-PV-016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Losartan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10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SYN-PV-017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Rash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21</w:t>
            </w:r>
          </w:p>
        </w:tc>
        <w:tc>
          <w:tcPr>
            <w:tcW w:w="2074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</w:tr>
      <w:tr w:rsidR="00F26C41" w:rsidRPr="00E31553">
        <w:trPr>
          <w:jc w:val="center"/>
        </w:trPr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SYN-PV-018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Atorvastatin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Myalgia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17</w:t>
            </w:r>
          </w:p>
        </w:tc>
        <w:tc>
          <w:tcPr>
            <w:tcW w:w="2074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</w:tr>
    </w:tbl>
    <w:p w:rsidR="00F26C41" w:rsidRPr="00E31553" w:rsidRDefault="005A0DE8" w:rsidP="006121E7">
      <w:pPr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Interpretation: onset ranged from day 1 to day</w:t>
      </w:r>
      <w:r w:rsidRPr="00E31553">
        <w:rPr>
          <w:rFonts w:ascii="Times New Roman" w:hAnsi="Times New Roman" w:cs="Times New Roman"/>
          <w:sz w:val="24"/>
          <w:szCs w:val="24"/>
        </w:rPr>
        <w:t xml:space="preserve"> 21. A short or long interval may be compatible with an ADR depending on the drug and event; temporality alone does not prove causation. Positive dechallenge </w:t>
      </w:r>
      <w:proofErr w:type="gramStart"/>
      <w:r w:rsidRPr="00E31553">
        <w:rPr>
          <w:rFonts w:ascii="Times New Roman" w:hAnsi="Times New Roman" w:cs="Times New Roman"/>
          <w:sz w:val="24"/>
          <w:szCs w:val="24"/>
        </w:rPr>
        <w:t>may</w:t>
      </w:r>
      <w:proofErr w:type="gramEnd"/>
      <w:r w:rsidRPr="00E31553">
        <w:rPr>
          <w:rFonts w:ascii="Times New Roman" w:hAnsi="Times New Roman" w:cs="Times New Roman"/>
          <w:sz w:val="24"/>
          <w:szCs w:val="24"/>
        </w:rPr>
        <w:t xml:space="preserve"> support an association, while negative or unknown dechallenge does not automatically exclude i</w:t>
      </w:r>
      <w:r w:rsidRPr="00E31553">
        <w:rPr>
          <w:rFonts w:ascii="Times New Roman" w:hAnsi="Times New Roman" w:cs="Times New Roman"/>
          <w:sz w:val="24"/>
          <w:szCs w:val="24"/>
        </w:rPr>
        <w:t>t.</w:t>
      </w:r>
    </w:p>
    <w:p w:rsidR="00F26C41" w:rsidRPr="00E31553" w:rsidRDefault="005A0DE8" w:rsidP="006121E7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4. Suspect drugs versus concomitant medicines</w:t>
      </w:r>
    </w:p>
    <w:p w:rsidR="00F26C41" w:rsidRPr="00E31553" w:rsidRDefault="005A0DE8" w:rsidP="006121E7">
      <w:pPr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The product listed in the source field “SuspectProduct” is treated as the primary suspect for screening. A concomitant medicine is not automatically a co-suspect. It should be upgraded to a co-suspect only i</w:t>
      </w:r>
      <w:r w:rsidRPr="00E31553">
        <w:rPr>
          <w:rFonts w:ascii="Times New Roman" w:hAnsi="Times New Roman" w:cs="Times New Roman"/>
          <w:sz w:val="24"/>
          <w:szCs w:val="24"/>
        </w:rPr>
        <w:t>f chronology, a known reaction, a plausible interaction, or other case-specific evidence supports its possible contribution.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26C41" w:rsidRPr="00E31553">
        <w:trPr>
          <w:tblHeader/>
          <w:jc w:val="center"/>
        </w:trPr>
        <w:tc>
          <w:tcPr>
            <w:tcW w:w="2592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Suspect product</w:t>
            </w:r>
          </w:p>
        </w:tc>
        <w:tc>
          <w:tcPr>
            <w:tcW w:w="2592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Reaction</w:t>
            </w:r>
          </w:p>
        </w:tc>
        <w:tc>
          <w:tcPr>
            <w:tcW w:w="2592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Concomitant medicine(s)</w:t>
            </w:r>
          </w:p>
        </w:tc>
        <w:tc>
          <w:tcPr>
            <w:tcW w:w="2592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Screening interpretation</w:t>
            </w:r>
          </w:p>
        </w:tc>
      </w:tr>
      <w:tr w:rsidR="00F26C41" w:rsidRPr="00E31553">
        <w:trPr>
          <w:jc w:val="center"/>
        </w:trPr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Rash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Vitamin D in cases 009 and 017; none 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reported in 001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Amoxicillin is the primary suspect; assess allergy history, rash characteristics and alternative causes.</w:t>
            </w:r>
          </w:p>
        </w:tc>
      </w:tr>
      <w:tr w:rsidR="00F26C41" w:rsidRPr="00E31553">
        <w:trPr>
          <w:jc w:val="center"/>
        </w:trPr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Atorvastatin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Myalgia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Paracetamol in case 010; none reported in 002 and 018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Atorvastatin is the primary suspect; obtain muscle symptom 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details and relevant investigations if available.</w:t>
            </w:r>
          </w:p>
        </w:tc>
      </w:tr>
      <w:tr w:rsidR="00F26C41" w:rsidRPr="00E31553">
        <w:trPr>
          <w:jc w:val="center"/>
        </w:trPr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Metformin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Nausea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Vitamin D in case 003; none reported in 011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Metformin is the primary suspect; assess timing, gastrointestinal history and other causes.</w:t>
            </w:r>
          </w:p>
        </w:tc>
      </w:tr>
      <w:tr w:rsidR="00F26C41" w:rsidRPr="00E31553">
        <w:trPr>
          <w:jc w:val="center"/>
        </w:trPr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Amlodipine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Peripheral oedema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None reported in cases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004 and 012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Amlodipine is the primary suspect; evaluate other causes and verify the dose, especially case 004.</w:t>
            </w:r>
          </w:p>
        </w:tc>
      </w:tr>
      <w:tr w:rsidR="00F26C41" w:rsidRPr="00E31553">
        <w:trPr>
          <w:jc w:val="center"/>
        </w:trPr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Ciprofloxacin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Tendon pain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Vitamin D in case 013; none reported in 005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Ciprofloxacin is the primary suspect; tendon-related symptoms warrant cli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nical attention in real 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cases.</w:t>
            </w:r>
          </w:p>
        </w:tc>
      </w:tr>
      <w:tr w:rsidR="00F26C41" w:rsidRPr="00E31553">
        <w:trPr>
          <w:jc w:val="center"/>
        </w:trPr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Sertraline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Dizziness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Paracetamol in cases 006 and 014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Sertraline is the primary suspect; assess other causes and the medication timeline.</w:t>
            </w:r>
          </w:p>
        </w:tc>
      </w:tr>
      <w:tr w:rsidR="00F26C41" w:rsidRPr="00E31553">
        <w:trPr>
          <w:jc w:val="center"/>
        </w:trPr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Omeprazole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Paracetamol in case 007; none reported in 015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Omeprazole is the p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rimary suspect; verify dose and assess other causes.</w:t>
            </w:r>
          </w:p>
        </w:tc>
      </w:tr>
      <w:tr w:rsidR="00F26C41" w:rsidRPr="00E31553">
        <w:trPr>
          <w:jc w:val="center"/>
        </w:trPr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Losartan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Paracetamol in case 008; none reported in 016</w:t>
            </w:r>
          </w:p>
        </w:tc>
        <w:tc>
          <w:tcPr>
            <w:tcW w:w="2592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Losartan is the primary suspect; assess alternative explanations and verify dose/indication.</w:t>
            </w:r>
          </w:p>
        </w:tc>
      </w:tr>
    </w:tbl>
    <w:p w:rsidR="00F26C41" w:rsidRPr="00E31553" w:rsidRDefault="005A0DE8" w:rsidP="006121E7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5. Structured ADR identification summary</w:t>
      </w:r>
    </w:p>
    <w:p w:rsidR="00F26C41" w:rsidRPr="00E31553" w:rsidRDefault="005A0DE8" w:rsidP="006121E7">
      <w:pPr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 xml:space="preserve">The </w:t>
      </w:r>
      <w:r w:rsidRPr="00E31553">
        <w:rPr>
          <w:rFonts w:ascii="Times New Roman" w:hAnsi="Times New Roman" w:cs="Times New Roman"/>
          <w:sz w:val="24"/>
          <w:szCs w:val="24"/>
        </w:rPr>
        <w:t>following table records the core screening fields. “Expectedness reference” reflects the source dataset field and should not be treated as a verified regulatory expectedness assessment without the applicable product information. “Initial causality note” is</w:t>
      </w:r>
      <w:r w:rsidRPr="00E31553">
        <w:rPr>
          <w:rFonts w:ascii="Times New Roman" w:hAnsi="Times New Roman" w:cs="Times New Roman"/>
          <w:sz w:val="24"/>
          <w:szCs w:val="24"/>
        </w:rPr>
        <w:t xml:space="preserve"> deliberately conservative because the source pack does not provide sufficient clinical detail for a definitive WHO–UMC or Naranjo classification.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1"/>
        <w:gridCol w:w="1443"/>
        <w:gridCol w:w="1124"/>
        <w:gridCol w:w="1308"/>
        <w:gridCol w:w="1553"/>
        <w:gridCol w:w="1356"/>
        <w:gridCol w:w="1234"/>
        <w:gridCol w:w="1835"/>
      </w:tblGrid>
      <w:tr w:rsidR="00F26C41" w:rsidRPr="00E31553">
        <w:trPr>
          <w:tblHeader/>
          <w:jc w:val="center"/>
        </w:trPr>
        <w:tc>
          <w:tcPr>
            <w:tcW w:w="1296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Case ID</w:t>
            </w:r>
          </w:p>
        </w:tc>
        <w:tc>
          <w:tcPr>
            <w:tcW w:w="1296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Drug / dose as reported</w:t>
            </w:r>
          </w:p>
        </w:tc>
        <w:tc>
          <w:tcPr>
            <w:tcW w:w="1296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Reaction / onset</w:t>
            </w:r>
          </w:p>
        </w:tc>
        <w:tc>
          <w:tcPr>
            <w:tcW w:w="1296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Co-medication</w:t>
            </w:r>
          </w:p>
        </w:tc>
        <w:tc>
          <w:tcPr>
            <w:tcW w:w="1296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Seriousness (source)</w:t>
            </w:r>
          </w:p>
        </w:tc>
        <w:tc>
          <w:tcPr>
            <w:tcW w:w="1296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Dechallenge / rechallenge</w:t>
            </w:r>
          </w:p>
        </w:tc>
        <w:tc>
          <w:tcPr>
            <w:tcW w:w="1296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Outcome</w:t>
            </w:r>
          </w:p>
        </w:tc>
        <w:tc>
          <w:tcPr>
            <w:tcW w:w="1296" w:type="dxa"/>
            <w:shd w:val="clear" w:color="auto" w:fill="194169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Initial assessment / data note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SYN-PV-001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E31553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500</w:t>
            </w:r>
            <w:r w:rsidR="005A0DE8"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mg once daily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Rash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17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None reported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Medically important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 / Positive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Not recovered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 Verify indication/product record.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SYN-PV-002</w:t>
            </w:r>
          </w:p>
        </w:tc>
        <w:tc>
          <w:tcPr>
            <w:tcW w:w="1296" w:type="dxa"/>
            <w:vAlign w:val="center"/>
          </w:tcPr>
          <w:p w:rsidR="00F26C41" w:rsidRPr="00E31553" w:rsidRDefault="00E31553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Atorvastatin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20</w:t>
            </w:r>
            <w:r w:rsidR="005A0DE8"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mg once daily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Myalgia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1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None reported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Not serious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 / Negative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Recovered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 Verify indication/product record.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SYN-PV-003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Metformin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5</w:t>
            </w:r>
            <w:r w:rsidR="00E3155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mg once daily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Nausea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13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Vitamin 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Hospitalisation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 / Negative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Recovered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 Verify indication/product record.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SYN-PV-004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Amlodipine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5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mg twice daily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Peripheral oedema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21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None reported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Medically important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Positive / Negative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 Verify unusually high reported dose. Verify indication/product record.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SYN-PV-005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Ciprofloxacin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500 mg twice daily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Tendon pain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15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None reported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Medically important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 / Not done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Not recovered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SYN-PV-006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Sertraline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20 mg once daily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Dizziness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3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Paracetamol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Medically important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Positive / Not done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Recovering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SYN-PV-007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Omeprazole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315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0 mg twice 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16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Paracetamol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Medically important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 / Negative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Recovered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 Verify unusually high reported dose. Verify indication/product record.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SYN-PV-008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Losartan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5</w:t>
            </w:r>
            <w:r w:rsidR="00E315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mg once daily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2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aracetamol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Not serious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 / Not done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Recovering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 Verify indication/product record.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SYN-PV-009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5</w:t>
            </w:r>
            <w:r w:rsidR="00E3155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mg once daily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Rash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7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Vitamin 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Medically important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Positive / Not done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Recovering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SYN-PV-010</w:t>
            </w:r>
          </w:p>
        </w:tc>
        <w:tc>
          <w:tcPr>
            <w:tcW w:w="1296" w:type="dxa"/>
            <w:vAlign w:val="center"/>
          </w:tcPr>
          <w:p w:rsidR="00F26C41" w:rsidRPr="00E31553" w:rsidRDefault="00E31553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Atorvastatin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20</w:t>
            </w:r>
            <w:r w:rsidR="005A0DE8"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mg once daily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Myalgia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21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Paracetamol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Hospitalisation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 / Negative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Recovered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SYN-PV-011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Metformin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5</w:t>
            </w:r>
            <w:r w:rsidR="00E3155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mg once daily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Nausea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19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None reported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Medically important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 / Positive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Recovering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Temporal association; causality not 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established.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SYN-PV-012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Amlodipine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5 mg once daily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Peripheral oedema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4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None reported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Medically important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 / Positive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Not recovered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SYN-PV-013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Ciprofloxacin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500 mg twice daily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Tendon pain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5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Vitamin 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Medically important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 / Positive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Not recovered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SYN-PV-014</w:t>
            </w:r>
          </w:p>
        </w:tc>
        <w:tc>
          <w:tcPr>
            <w:tcW w:w="1296" w:type="dxa"/>
            <w:vAlign w:val="center"/>
          </w:tcPr>
          <w:p w:rsidR="00F26C41" w:rsidRPr="00E31553" w:rsidRDefault="00E31553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Sertraline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20</w:t>
            </w:r>
            <w:r w:rsidR="005A0DE8"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mg </w:t>
            </w:r>
            <w:r w:rsidR="005A0DE8" w:rsidRPr="00E31553">
              <w:rPr>
                <w:rFonts w:ascii="Times New Roman" w:hAnsi="Times New Roman" w:cs="Times New Roman"/>
                <w:sz w:val="24"/>
                <w:szCs w:val="24"/>
              </w:rPr>
              <w:t>once daily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Dizziness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9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Paracetamol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Hospitalisation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Negative / Negative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Recovering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SYN-PV-015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Omeprazole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20 mg once daily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16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None reported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Hospitalisation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 / Positive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Recovered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SYN-PV-016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Losartan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20 mg once daily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10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None reported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Not serious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Positive / Negative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Not recovered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SYN-PV-017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5</w:t>
            </w:r>
            <w:r w:rsidR="00E3155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mg once daily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Rash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Day 21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Vitamin D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Medically important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 / Positive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Recovering</w:t>
            </w:r>
          </w:p>
        </w:tc>
        <w:tc>
          <w:tcPr>
            <w:tcW w:w="1296" w:type="dxa"/>
            <w:shd w:val="clear" w:color="auto" w:fill="F2F6F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Temporal association; causality not established.</w:t>
            </w:r>
          </w:p>
        </w:tc>
      </w:tr>
      <w:tr w:rsidR="00F26C41" w:rsidRPr="00E31553">
        <w:trPr>
          <w:jc w:val="center"/>
        </w:trPr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SYN-PV-018</w:t>
            </w:r>
          </w:p>
        </w:tc>
        <w:tc>
          <w:tcPr>
            <w:tcW w:w="1296" w:type="dxa"/>
            <w:vAlign w:val="center"/>
          </w:tcPr>
          <w:p w:rsidR="00F26C41" w:rsidRPr="00E31553" w:rsidRDefault="00E31553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Atorvastatin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20</w:t>
            </w:r>
            <w:r w:rsidR="005A0DE8"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 mg twice daily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Myalgia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br/>
              <w:t>Day 17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None reported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Hospitalisation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Unknown / Positive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Not recovered</w:t>
            </w:r>
          </w:p>
        </w:tc>
        <w:tc>
          <w:tcPr>
            <w:tcW w:w="1296" w:type="dxa"/>
            <w:vAlign w:val="center"/>
          </w:tcPr>
          <w:p w:rsidR="00F26C41" w:rsidRPr="00E31553" w:rsidRDefault="005A0DE8" w:rsidP="006121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 xml:space="preserve">Temporal </w:t>
            </w:r>
            <w:r w:rsidRPr="00E31553">
              <w:rPr>
                <w:rFonts w:ascii="Times New Roman" w:hAnsi="Times New Roman" w:cs="Times New Roman"/>
                <w:sz w:val="24"/>
                <w:szCs w:val="24"/>
              </w:rPr>
              <w:t>association; causality not established. Verify unusually high reported dose. Verify indication/product record.</w:t>
            </w:r>
          </w:p>
        </w:tc>
      </w:tr>
    </w:tbl>
    <w:p w:rsidR="00F26C41" w:rsidRPr="00E31553" w:rsidRDefault="005A0DE8" w:rsidP="006121E7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6. Data quality issues and follow-up</w:t>
      </w:r>
    </w:p>
    <w:p w:rsidR="00F26C41" w:rsidRPr="00E31553" w:rsidRDefault="005A0DE8" w:rsidP="006121E7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Dose verification: SYN-PV-004 lists amlodipine 500 mg twice daily; SYN-PV-007 lists omeprazole 500 mg twice</w:t>
      </w:r>
      <w:r w:rsidRPr="00E31553">
        <w:rPr>
          <w:rFonts w:ascii="Times New Roman" w:hAnsi="Times New Roman" w:cs="Times New Roman"/>
          <w:sz w:val="24"/>
          <w:szCs w:val="24"/>
        </w:rPr>
        <w:t xml:space="preserve"> daily; SYN-PV-018 lists atorvastatin 500 mg twice daily. These are unusually high reported doses and must be checked against the source record before interpretation. Do not silently correct the values.</w:t>
      </w:r>
    </w:p>
    <w:p w:rsidR="00F26C41" w:rsidRPr="00E31553" w:rsidRDefault="005A0DE8" w:rsidP="006121E7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Indication verification: several drug–indication comb</w:t>
      </w:r>
      <w:r w:rsidRPr="00E31553">
        <w:rPr>
          <w:rFonts w:ascii="Times New Roman" w:hAnsi="Times New Roman" w:cs="Times New Roman"/>
          <w:sz w:val="24"/>
          <w:szCs w:val="24"/>
        </w:rPr>
        <w:t>inations appear unusual (for example, amoxicillin or atorvastatin recorded with anxiety). Confirm the indication in the original case record.</w:t>
      </w:r>
    </w:p>
    <w:p w:rsidR="00F26C41" w:rsidRPr="00E31553" w:rsidRDefault="005A0DE8" w:rsidP="006121E7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lastRenderedPageBreak/>
        <w:t>Case validity: the supplied field guide identifies identifiable patient, identifiable reporter, suspect product an</w:t>
      </w:r>
      <w:r w:rsidRPr="00E31553">
        <w:rPr>
          <w:rFonts w:ascii="Times New Roman" w:hAnsi="Times New Roman" w:cs="Times New Roman"/>
          <w:sz w:val="24"/>
          <w:szCs w:val="24"/>
        </w:rPr>
        <w:t>d adverse event as minimum elements for a valid case. The synthetic records contain case IDs and some demographic/reporting information, but actual patient/reporter identifiability cannot be assumed from the training dataset alone.</w:t>
      </w:r>
    </w:p>
    <w:p w:rsidR="00F26C41" w:rsidRPr="00E31553" w:rsidRDefault="005A0DE8" w:rsidP="006121E7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Expectedness: verify the</w:t>
      </w:r>
      <w:r w:rsidRPr="00E31553">
        <w:rPr>
          <w:rFonts w:ascii="Times New Roman" w:hAnsi="Times New Roman" w:cs="Times New Roman"/>
          <w:sz w:val="24"/>
          <w:szCs w:val="24"/>
        </w:rPr>
        <w:t xml:space="preserve"> reaction against the applicable current Summary of Product Characteristics or other required reference before making a formal expectedness decision.</w:t>
      </w:r>
    </w:p>
    <w:p w:rsidR="00F26C41" w:rsidRPr="00E31553" w:rsidRDefault="005A0DE8" w:rsidP="006121E7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Seriousness: retain the source classification for this training exercise, but confirm the basis for hospit</w:t>
      </w:r>
      <w:r w:rsidRPr="00E31553">
        <w:rPr>
          <w:rFonts w:ascii="Times New Roman" w:hAnsi="Times New Roman" w:cs="Times New Roman"/>
          <w:sz w:val="24"/>
          <w:szCs w:val="24"/>
        </w:rPr>
        <w:t>alisation or medically important events. Severity and regulatory seriousness are not interchangeable.</w:t>
      </w:r>
    </w:p>
    <w:p w:rsidR="00F26C41" w:rsidRPr="00E31553" w:rsidRDefault="005A0DE8" w:rsidP="006121E7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 xml:space="preserve">Causality: the source includes dechallenge/rechallenge categories, but the clinical details, dates and evidence supporting those labels are not supplied. </w:t>
      </w:r>
      <w:r w:rsidRPr="00E31553">
        <w:rPr>
          <w:rFonts w:ascii="Times New Roman" w:hAnsi="Times New Roman" w:cs="Times New Roman"/>
          <w:sz w:val="24"/>
          <w:szCs w:val="24"/>
        </w:rPr>
        <w:t>Do not treat a positive rechallenge field alone as independently verified proof.</w:t>
      </w:r>
    </w:p>
    <w:p w:rsidR="00F26C41" w:rsidRPr="00E31553" w:rsidRDefault="005A0DE8" w:rsidP="006121E7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7. Conclusion</w:t>
      </w:r>
    </w:p>
    <w:p w:rsidR="00F26C41" w:rsidRPr="00E31553" w:rsidRDefault="005A0DE8" w:rsidP="006121E7">
      <w:pPr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The 18 fictional cases provide a basis for preliminary ADR screening. The named products have been retained as primary suspects for review, while reported concom</w:t>
      </w:r>
      <w:r w:rsidRPr="00E31553">
        <w:rPr>
          <w:rFonts w:ascii="Times New Roman" w:hAnsi="Times New Roman" w:cs="Times New Roman"/>
          <w:sz w:val="24"/>
          <w:szCs w:val="24"/>
        </w:rPr>
        <w:t>itant medicines have not been labelled causal without supporting evidence. Onset intervals range from 1–21 days. Before a final causality or expectedness classification, the source records should be checked for dose, indication, exact dates, clinical evide</w:t>
      </w:r>
      <w:r w:rsidRPr="00E31553">
        <w:rPr>
          <w:rFonts w:ascii="Times New Roman" w:hAnsi="Times New Roman" w:cs="Times New Roman"/>
          <w:sz w:val="24"/>
          <w:szCs w:val="24"/>
        </w:rPr>
        <w:t>nce, alternative causes, and the basis for seriousness and dechallenge/rechallenge assessments.</w:t>
      </w:r>
    </w:p>
    <w:p w:rsidR="00F26C41" w:rsidRPr="00E31553" w:rsidRDefault="005A0DE8" w:rsidP="006121E7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References / assessment framework</w:t>
      </w:r>
    </w:p>
    <w:p w:rsidR="00F26C41" w:rsidRPr="00E31553" w:rsidRDefault="005A0DE8" w:rsidP="006121E7">
      <w:pPr>
        <w:jc w:val="both"/>
        <w:rPr>
          <w:rFonts w:ascii="Times New Roman" w:hAnsi="Times New Roman" w:cs="Times New Roman"/>
          <w:sz w:val="24"/>
          <w:szCs w:val="24"/>
        </w:rPr>
      </w:pPr>
      <w:r w:rsidRPr="00E31553">
        <w:rPr>
          <w:rFonts w:ascii="Times New Roman" w:hAnsi="Times New Roman" w:cs="Times New Roman"/>
          <w:sz w:val="24"/>
          <w:szCs w:val="24"/>
        </w:rPr>
        <w:t>1. World Health Organization–Uppsala Monitoring Centre (WHO–UMC). The use of the WHO–UMC system for standardised case causalit</w:t>
      </w:r>
      <w:r w:rsidRPr="00E31553">
        <w:rPr>
          <w:rFonts w:ascii="Times New Roman" w:hAnsi="Times New Roman" w:cs="Times New Roman"/>
          <w:sz w:val="24"/>
          <w:szCs w:val="24"/>
        </w:rPr>
        <w:t>y assessment.</w:t>
      </w:r>
      <w:r w:rsidRPr="00E31553">
        <w:rPr>
          <w:rFonts w:ascii="Times New Roman" w:hAnsi="Times New Roman" w:cs="Times New Roman"/>
          <w:sz w:val="24"/>
          <w:szCs w:val="24"/>
        </w:rPr>
        <w:br/>
        <w:t>2. Naranjo CA, Busto U, Sellers EM, et al. A method for estimating the probability of adverse drug reactions. Clin Pharmacol Ther. 1981;30(2):239–245.</w:t>
      </w:r>
      <w:r w:rsidRPr="00E31553">
        <w:rPr>
          <w:rFonts w:ascii="Times New Roman" w:hAnsi="Times New Roman" w:cs="Times New Roman"/>
          <w:sz w:val="24"/>
          <w:szCs w:val="24"/>
        </w:rPr>
        <w:br/>
        <w:t>3. WORKORA Synthetic Pharmacovigilance Training Pack: case_scenarios.csv, field_guide.csv a</w:t>
      </w:r>
      <w:r w:rsidRPr="00E31553">
        <w:rPr>
          <w:rFonts w:ascii="Times New Roman" w:hAnsi="Times New Roman" w:cs="Times New Roman"/>
          <w:sz w:val="24"/>
          <w:szCs w:val="24"/>
        </w:rPr>
        <w:t>nd README.txt (provided training dataset).</w:t>
      </w:r>
    </w:p>
    <w:sectPr w:rsidR="00F26C41" w:rsidRPr="00E31553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0DE8" w:rsidRDefault="005A0DE8">
      <w:pPr>
        <w:spacing w:after="0" w:line="240" w:lineRule="auto"/>
      </w:pPr>
      <w:r>
        <w:separator/>
      </w:r>
    </w:p>
  </w:endnote>
  <w:endnote w:type="continuationSeparator" w:id="0">
    <w:p w:rsidR="005A0DE8" w:rsidRDefault="005A0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C41" w:rsidRDefault="005A0DE8">
    <w:pPr>
      <w:pStyle w:val="Footer"/>
      <w:jc w:val="center"/>
    </w:pPr>
    <w:r>
      <w:rPr>
        <w:color w:val="6E7882"/>
        <w:sz w:val="16"/>
      </w:rPr>
      <w:t>PV Internship Task 1 | Educational synthetic case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0DE8" w:rsidRDefault="005A0DE8">
      <w:pPr>
        <w:spacing w:after="0" w:line="240" w:lineRule="auto"/>
      </w:pPr>
      <w:r>
        <w:separator/>
      </w:r>
    </w:p>
  </w:footnote>
  <w:footnote w:type="continuationSeparator" w:id="0">
    <w:p w:rsidR="005A0DE8" w:rsidRDefault="005A0D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DE8"/>
    <w:rsid w:val="006121E7"/>
    <w:rsid w:val="008408EB"/>
    <w:rsid w:val="00AA1D8D"/>
    <w:rsid w:val="00B47730"/>
    <w:rsid w:val="00CB0664"/>
    <w:rsid w:val="00E31553"/>
    <w:rsid w:val="00F26C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1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55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416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1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55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416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7C9CCB-C24A-40B8-83A9-21BEF0F95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1637</Words>
  <Characters>9333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10</cp:revision>
  <dcterms:created xsi:type="dcterms:W3CDTF">2013-12-23T23:15:00Z</dcterms:created>
  <dcterms:modified xsi:type="dcterms:W3CDTF">2026-10-27T12:47:00Z</dcterms:modified>
  <cp:category/>
</cp:coreProperties>
</file>