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pPr>
      <w:r>
        <w:rPr>
          <w:rFonts w:ascii="Arial" w:cs="Arial" w:eastAsia="Arial" w:hAnsi="Arial"/>
          <w:b/>
          <w:bCs/>
          <w:color w:val="FFFFFF"/>
          <w:sz w:val="40"/>
          <w:szCs w:val="40"/>
        </w:rPr>
        <w:t xml:space="preserve">UK WORKPLACE EMPLOYMENT ANALYSIS</w:t>
      </w:r>
    </w:p>
    <w:p>
      <w:pPr>
        <w:shd w:fill="1F4E79" w:val="clear"/>
        <w:spacing w:after="0" w:before="0"/>
      </w:pPr>
      <w:r>
        <w:rPr>
          <w:rFonts w:ascii="Arial" w:cs="Arial" w:eastAsia="Arial" w:hAnsi="Arial"/>
          <w:color w:val="BDD7EE"/>
          <w:sz w:val="26"/>
          <w:szCs w:val="26"/>
        </w:rPr>
        <w:t xml:space="preserve">2009 – 2019  |  End-to-End Data Analytics Project</w:t>
      </w:r>
    </w:p>
    <w:p>
      <w:pPr>
        <w:shd w:fill="1F4E79" w:val="clear"/>
        <w:spacing w:after="0" w:before="0"/>
      </w:pPr>
      <w:r>
        <w:rPr>
          <w:rFonts w:ascii="Arial" w:cs="Arial" w:eastAsia="Arial" w:hAnsi="Arial"/>
          <w:i/>
          <w:iCs/>
          <w:color w:val="9DC3E6"/>
          <w:sz w:val="22"/>
          <w:szCs w:val="22"/>
        </w:rPr>
        <w:t xml:space="preserve">Excel  ·  MySQL  ·  Python  ·  Power BI</w:t>
      </w:r>
    </w:p>
    <w:p>
      <w:pPr>
        <w:spacing w:after="0" w:before="0"/>
      </w:pPr>
      <w:r>
        <w:rPr>
          <w:sz w:val="10"/>
          <w:szCs w:val="10"/>
        </w:rPr>
        <w:t xml:space="preserve"/>
      </w:r>
    </w:p>
    <w:tbl>
      <w:tblPr>
        <w:tblW w:type="dxa" w:w="9360"/>
      </w:tblPr>
      <w:tblGrid>
        <w:gridCol w:w="2160"/>
        <w:gridCol w:w="7200"/>
      </w:tblGrid>
      <w:tr>
        <w:tc>
          <w:tcPr>
            <w:tcW w:type="dxa" w:w="21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7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Dharani Kishori Popuri</w:t>
            </w:r>
          </w:p>
        </w:tc>
      </w:tr>
    </w:tbl>
    <w:p>
      <w:pPr>
        <w:spacing w:after="0" w:before="0"/>
      </w:pPr>
      <w:r>
        <w:rPr>
          <w:sz w:val="10"/>
          <w:szCs w:val="10"/>
        </w:rPr>
        <w:t xml:space="preserve"/>
      </w:r>
    </w:p>
    <w:tbl>
      <w:tblPr>
        <w:tblW w:type="dxa" w:w="9360"/>
      </w:tblPr>
      <w:tblGrid>
        <w:gridCol w:w="2160"/>
        <w:gridCol w:w="7200"/>
      </w:tblGrid>
      <w:tr>
        <w:tc>
          <w:tcPr>
            <w:tcW w:type="dxa" w:w="21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Source</w:t>
            </w:r>
          </w:p>
        </w:tc>
        <w:tc>
          <w:tcPr>
            <w:tcW w:type="dxa" w:w="7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ONS / London Datastore — Workplace Employment by Public/Private Sector, Borough</w:t>
            </w:r>
          </w:p>
        </w:tc>
      </w:tr>
    </w:tbl>
    <w:p>
      <w:pPr>
        <w:spacing w:after="0" w:before="0"/>
      </w:pPr>
      <w:r>
        <w:rPr>
          <w:sz w:val="10"/>
          <w:szCs w:val="10"/>
        </w:rPr>
        <w:t xml:space="preserve"/>
      </w:r>
    </w:p>
    <w:tbl>
      <w:tblPr>
        <w:tblW w:type="dxa" w:w="9360"/>
      </w:tblPr>
      <w:tblGrid>
        <w:gridCol w:w="2160"/>
        <w:gridCol w:w="7200"/>
      </w:tblGrid>
      <w:tr>
        <w:tc>
          <w:tcPr>
            <w:tcW w:type="dxa" w:w="21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Period</w:t>
            </w:r>
          </w:p>
        </w:tc>
        <w:tc>
          <w:tcPr>
            <w:tcW w:type="dxa" w:w="7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2009 – 2019 (11 years)</w:t>
            </w:r>
          </w:p>
        </w:tc>
      </w:tr>
    </w:tbl>
    <w:p>
      <w:pPr>
        <w:spacing w:after="0" w:before="0"/>
      </w:pPr>
      <w:r>
        <w:rPr>
          <w:sz w:val="10"/>
          <w:szCs w:val="10"/>
        </w:rPr>
        <w:t xml:space="preserve"/>
      </w:r>
    </w:p>
    <w:tbl>
      <w:tblPr>
        <w:tblW w:type="dxa" w:w="9360"/>
      </w:tblPr>
      <w:tblGrid>
        <w:gridCol w:w="2160"/>
        <w:gridCol w:w="7200"/>
      </w:tblGrid>
      <w:tr>
        <w:tc>
          <w:tcPr>
            <w:tcW w:type="dxa" w:w="21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Scope</w:t>
            </w:r>
          </w:p>
        </w:tc>
        <w:tc>
          <w:tcPr>
            <w:tcW w:type="dxa" w:w="7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UK Local Authorities, London Boroughs, Regions, Nations, Great Britain aggregate</w:t>
            </w:r>
          </w:p>
        </w:tc>
      </w:tr>
    </w:tbl>
    <w:p>
      <w:pPr>
        <w:spacing w:after="0" w:before="0"/>
      </w:pPr>
      <w:r>
        <w:rPr>
          <w:sz w:val="10"/>
          <w:szCs w:val="10"/>
        </w:rPr>
        <w:t xml:space="preserve"/>
      </w:r>
    </w:p>
    <w:tbl>
      <w:tblPr>
        <w:tblW w:type="dxa" w:w="9360"/>
      </w:tblPr>
      <w:tblGrid>
        <w:gridCol w:w="2160"/>
        <w:gridCol w:w="7200"/>
      </w:tblGrid>
      <w:tr>
        <w:tc>
          <w:tcPr>
            <w:tcW w:type="dxa" w:w="216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Dataset Size</w:t>
            </w:r>
          </w:p>
        </w:tc>
        <w:tc>
          <w:tcPr>
            <w:tcW w:type="dxa" w:w="7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528 rows × 23 columns after full pipeline (Excel → SQL → Python)</w:t>
            </w:r>
          </w:p>
        </w:tc>
      </w:tr>
    </w:tbl>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 Project Overview</w:t>
      </w:r>
    </w:p>
    <w:p>
      <w:pPr>
        <w:spacing w:after="80" w:before="60"/>
      </w:pPr>
      <w:r>
        <w:rPr>
          <w:rFonts w:ascii="Arial" w:cs="Arial" w:eastAsia="Arial" w:hAnsi="Arial"/>
          <w:color w:val="2C2C2C"/>
          <w:sz w:val="22"/>
          <w:szCs w:val="22"/>
        </w:rPr>
        <w:t xml:space="preserve">This project performs a comprehensive end-to-end analysis of workplace employment statistics across UK regions and London boroughs. The data, sourced from the ONS via the London Datastore, covers public and private sector employment broken down by full-time and part-time employees from 2009 to 2019.</w:t>
      </w:r>
    </w:p>
    <w:p>
      <w:pPr>
        <w:spacing w:after="0" w:before="0"/>
      </w:pPr>
      <w:r>
        <w:rPr>
          <w:sz w:val="10"/>
          <w:szCs w:val="10"/>
        </w:rPr>
        <w:t xml:space="preserve"/>
      </w:r>
    </w:p>
    <w:tbl>
      <w:tblPr>
        <w:tblW w:type="dxa" w:w="9360"/>
      </w:tblPr>
      <w:tblGrid>
        <w:gridCol w:w="900"/>
        <w:gridCol w:w="2500"/>
        <w:gridCol w:w="5960"/>
      </w:tblGrid>
      <w:tr>
        <w:trPr>
          <w:tblHeader/>
        </w:trPr>
        <w:tc>
          <w:tcPr>
            <w:tcW w:type="dxa" w:w="9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9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Microsoft Excel</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Raw data cleaning and multi-year consolidation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 Workbench</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Deep validation, transformation, and analytical queries</w:t>
            </w:r>
          </w:p>
        </w:tc>
      </w:tr>
      <w:tr>
        <w:tc>
          <w:tcPr>
            <w:tcW w:type="dxa" w:w="9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Python — Jupyter</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EDA, feature engineering, and statistical analysis</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Power BI</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Interactive dashboard for stakeholder reporting</w:t>
            </w:r>
          </w:p>
        </w:tc>
      </w:tr>
    </w:tbl>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Dataset Description</w:t>
      </w:r>
    </w:p>
    <w:tbl>
      <w:tblPr>
        <w:tblW w:type="dxa" w:w="9360"/>
      </w:tblPr>
      <w:tblGrid>
        <w:gridCol w:w="3400"/>
        <w:gridCol w:w="5960"/>
      </w:tblGrid>
      <w:tr>
        <w:trPr>
          <w:tblHeader/>
        </w:trPr>
        <w:tc>
          <w:tcPr>
            <w:tcW w:type="dxa" w:w="34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9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Year</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Survey year (2009 to 2019)</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Local_Authority_County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of the region, borough, or nation</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Code</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ONS area code (e.g. E09000001 for City of London)</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Authority_Type</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Aggregate / Nation / Region / Local Authority</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Public_FT/PT_employees</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Full-time and part-time public sector employees</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Private_FT/PT_employees</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Full-time and part-time private sector employees</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Total_Employment</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Overall employment figure for that area and year</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Validation_Status</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 / Invalid flag (set in both SQL and Python)</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Public/Private_sector_share</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Sector % of total employment — added in Python</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ft_to_pt_ratio</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Full-time to part-time ratio — added in Python</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yoy_growth_percent</w:t>
            </w:r>
          </w:p>
        </w:tc>
        <w:tc>
          <w:tcPr>
            <w:tcW w:type="dxa" w:w="59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Year-over-year employment growth % — added in Python</w:t>
            </w:r>
          </w:p>
        </w:tc>
      </w:tr>
    </w:tbl>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3. Stage 1 — Excel Data Cleaning</w:t>
      </w:r>
    </w:p>
    <w:p>
      <w:pPr>
        <w:pStyle w:val="Heading2"/>
        <w:spacing w:after="100" w:before="240"/>
      </w:pPr>
      <w:r>
        <w:rPr>
          <w:rFonts w:ascii="Arial" w:cs="Arial" w:eastAsia="Arial" w:hAnsi="Arial"/>
          <w:b/>
          <w:bCs/>
          <w:color w:val="2E75B6"/>
          <w:sz w:val="26"/>
          <w:szCs w:val="26"/>
        </w:rPr>
        <w:t xml:space="preserve">3.1 Objective</w:t>
      </w:r>
    </w:p>
    <w:p>
      <w:pPr>
        <w:spacing w:after="80" w:before="60"/>
      </w:pPr>
      <w:r>
        <w:rPr>
          <w:rFonts w:ascii="Arial" w:cs="Arial" w:eastAsia="Arial" w:hAnsi="Arial"/>
          <w:color w:val="2C2C2C"/>
          <w:sz w:val="22"/>
          <w:szCs w:val="22"/>
        </w:rPr>
        <w:t xml:space="preserve">Transform the raw multi-sheet ONS file into a single, analysis-ready flat table with consistent formatting.</w:t>
      </w:r>
    </w:p>
    <w:p>
      <w:pPr>
        <w:pStyle w:val="Heading2"/>
        <w:spacing w:after="100" w:before="240"/>
      </w:pPr>
      <w:r>
        <w:rPr>
          <w:rFonts w:ascii="Arial" w:cs="Arial" w:eastAsia="Arial" w:hAnsi="Arial"/>
          <w:b/>
          <w:bCs/>
          <w:color w:val="2E75B6"/>
          <w:sz w:val="26"/>
          <w:szCs w:val="26"/>
        </w:rPr>
        <w:t xml:space="preserve">3.2 Steps Performed</w:t>
      </w:r>
    </w:p>
    <w:p>
      <w:pPr>
        <w:pStyle w:val="ListParagraph"/>
        <w:numPr>
          <w:ilvl w:val="0"/>
          <w:numId w:val="2"/>
        </w:numPr>
        <w:spacing w:after="60" w:before="60"/>
      </w:pPr>
      <w:r>
        <w:rPr>
          <w:rFonts w:ascii="Arial" w:cs="Arial" w:eastAsia="Arial" w:hAnsi="Arial"/>
          <w:b/>
          <w:bCs/>
          <w:color w:val="2C2C2C"/>
          <w:sz w:val="22"/>
          <w:szCs w:val="22"/>
        </w:rPr>
        <w:t xml:space="preserve">Sheet Consolidation via Power Query</w:t>
      </w:r>
    </w:p>
    <w:p>
      <w:pPr>
        <w:pStyle w:val="ListParagraph"/>
        <w:numPr>
          <w:ilvl w:val="0"/>
          <w:numId w:val="3"/>
        </w:numPr>
        <w:spacing w:after="40" w:before="40"/>
      </w:pPr>
      <w:r>
        <w:rPr>
          <w:rFonts w:ascii="Arial" w:cs="Arial" w:eastAsia="Arial" w:hAnsi="Arial"/>
          <w:color w:val="444444"/>
          <w:sz w:val="20"/>
          <w:szCs w:val="20"/>
        </w:rPr>
        <w:t xml:space="preserve">Original data was split into 11 sheets — one per year (2009–2019)</w:t>
      </w:r>
    </w:p>
    <w:p>
      <w:pPr>
        <w:pStyle w:val="ListParagraph"/>
        <w:numPr>
          <w:ilvl w:val="0"/>
          <w:numId w:val="3"/>
        </w:numPr>
        <w:spacing w:after="40" w:before="40"/>
      </w:pPr>
      <w:r>
        <w:rPr>
          <w:rFonts w:ascii="Arial" w:cs="Arial" w:eastAsia="Arial" w:hAnsi="Arial"/>
          <w:color w:val="444444"/>
          <w:sz w:val="20"/>
          <w:szCs w:val="20"/>
        </w:rPr>
        <w:t xml:space="preserve">Added a 'Year' column to each sheet; used Power Query Append to merge all into one table</w:t>
      </w:r>
    </w:p>
    <w:p>
      <w:pPr>
        <w:pStyle w:val="ListParagraph"/>
        <w:numPr>
          <w:ilvl w:val="0"/>
          <w:numId w:val="2"/>
        </w:numPr>
        <w:spacing w:after="60" w:before="60"/>
      </w:pPr>
      <w:r>
        <w:rPr>
          <w:rFonts w:ascii="Arial" w:cs="Arial" w:eastAsia="Arial" w:hAnsi="Arial"/>
          <w:b/>
          <w:bCs/>
          <w:color w:val="2C2C2C"/>
          <w:sz w:val="22"/>
          <w:szCs w:val="22"/>
        </w:rPr>
        <w:t xml:space="preserve">Row &amp; Column Cleanup</w:t>
      </w:r>
    </w:p>
    <w:p>
      <w:pPr>
        <w:pStyle w:val="ListParagraph"/>
        <w:numPr>
          <w:ilvl w:val="0"/>
          <w:numId w:val="3"/>
        </w:numPr>
        <w:spacing w:after="40" w:before="40"/>
      </w:pPr>
      <w:r>
        <w:rPr>
          <w:rFonts w:ascii="Arial" w:cs="Arial" w:eastAsia="Arial" w:hAnsi="Arial"/>
          <w:color w:val="444444"/>
          <w:sz w:val="20"/>
          <w:szCs w:val="20"/>
        </w:rPr>
        <w:t xml:space="preserve">Deleted empty rows, blank columns, and header-only rows</w:t>
      </w:r>
    </w:p>
    <w:p>
      <w:pPr>
        <w:pStyle w:val="ListParagraph"/>
        <w:numPr>
          <w:ilvl w:val="0"/>
          <w:numId w:val="3"/>
        </w:numPr>
        <w:spacing w:after="40" w:before="40"/>
      </w:pPr>
      <w:r>
        <w:rPr>
          <w:rFonts w:ascii="Arial" w:cs="Arial" w:eastAsia="Arial" w:hAnsi="Arial"/>
          <w:color w:val="444444"/>
          <w:sz w:val="20"/>
          <w:szCs w:val="20"/>
        </w:rPr>
        <w:t xml:space="preserve">Removed duplicate records</w:t>
      </w:r>
    </w:p>
    <w:p>
      <w:pPr>
        <w:pStyle w:val="ListParagraph"/>
        <w:numPr>
          <w:ilvl w:val="0"/>
          <w:numId w:val="2"/>
        </w:numPr>
        <w:spacing w:after="60" w:before="60"/>
      </w:pPr>
      <w:r>
        <w:rPr>
          <w:rFonts w:ascii="Arial" w:cs="Arial" w:eastAsia="Arial" w:hAnsi="Arial"/>
          <w:b/>
          <w:bCs/>
          <w:color w:val="2C2C2C"/>
          <w:sz w:val="22"/>
          <w:szCs w:val="22"/>
        </w:rPr>
        <w:t xml:space="preserve">Column Header Standardisation</w:t>
      </w:r>
    </w:p>
    <w:p>
      <w:pPr>
        <w:pStyle w:val="ListParagraph"/>
        <w:numPr>
          <w:ilvl w:val="0"/>
          <w:numId w:val="3"/>
        </w:numPr>
        <w:spacing w:after="40" w:before="40"/>
      </w:pPr>
      <w:r>
        <w:rPr>
          <w:rFonts w:ascii="Arial" w:cs="Arial" w:eastAsia="Arial" w:hAnsi="Arial"/>
          <w:color w:val="444444"/>
          <w:sz w:val="20"/>
          <w:szCs w:val="20"/>
        </w:rPr>
        <w:t xml:space="preserve">Renamed all columns to consistent snake_case labels (e.g. Public_FT_employees)</w:t>
      </w:r>
    </w:p>
    <w:p>
      <w:pPr>
        <w:pStyle w:val="ListParagraph"/>
        <w:numPr>
          <w:ilvl w:val="0"/>
          <w:numId w:val="2"/>
        </w:numPr>
        <w:spacing w:after="60" w:before="60"/>
      </w:pPr>
      <w:r>
        <w:rPr>
          <w:rFonts w:ascii="Arial" w:cs="Arial" w:eastAsia="Arial" w:hAnsi="Arial"/>
          <w:b/>
          <w:bCs/>
          <w:color w:val="2C2C2C"/>
          <w:sz w:val="22"/>
          <w:szCs w:val="22"/>
        </w:rPr>
        <w:t xml:space="preserve">Numeric Conversion</w:t>
      </w:r>
    </w:p>
    <w:p>
      <w:pPr>
        <w:pStyle w:val="ListParagraph"/>
        <w:numPr>
          <w:ilvl w:val="0"/>
          <w:numId w:val="3"/>
        </w:numPr>
        <w:spacing w:after="40" w:before="40"/>
      </w:pPr>
      <w:r>
        <w:rPr>
          <w:rFonts w:ascii="Arial" w:cs="Arial" w:eastAsia="Arial" w:hAnsi="Arial"/>
          <w:color w:val="444444"/>
          <w:sz w:val="20"/>
          <w:szCs w:val="20"/>
        </w:rPr>
        <w:t xml:space="preserve">ONS figures were stored in thousands (e.g. 44.23 = 44,230 employees)</w:t>
      </w:r>
    </w:p>
    <w:p>
      <w:pPr>
        <w:pStyle w:val="ListParagraph"/>
        <w:numPr>
          <w:ilvl w:val="0"/>
          <w:numId w:val="3"/>
        </w:numPr>
        <w:spacing w:after="40" w:before="40"/>
      </w:pPr>
      <w:r>
        <w:rPr>
          <w:rFonts w:ascii="Arial" w:cs="Arial" w:eastAsia="Arial" w:hAnsi="Arial"/>
          <w:color w:val="444444"/>
          <w:sz w:val="20"/>
          <w:szCs w:val="20"/>
        </w:rPr>
        <w:t xml:space="preserve">Converted using: =ROUND(CELL * 1000, 0)</w:t>
      </w:r>
    </w:p>
    <w:p>
      <w:pPr>
        <w:pStyle w:val="ListParagraph"/>
        <w:numPr>
          <w:ilvl w:val="0"/>
          <w:numId w:val="3"/>
        </w:numPr>
        <w:spacing w:after="40" w:before="40"/>
      </w:pPr>
      <w:r>
        <w:rPr>
          <w:rFonts w:ascii="Arial" w:cs="Arial" w:eastAsia="Arial" w:hAnsi="Arial"/>
          <w:color w:val="444444"/>
          <w:sz w:val="20"/>
          <w:szCs w:val="20"/>
        </w:rPr>
        <w:t xml:space="preserve">Changed column data types to Number</w:t>
      </w:r>
    </w:p>
    <w:p>
      <w:pPr>
        <w:pStyle w:val="ListParagraph"/>
        <w:numPr>
          <w:ilvl w:val="0"/>
          <w:numId w:val="2"/>
        </w:numPr>
        <w:spacing w:after="60" w:before="60"/>
      </w:pPr>
      <w:r>
        <w:rPr>
          <w:rFonts w:ascii="Arial" w:cs="Arial" w:eastAsia="Arial" w:hAnsi="Arial"/>
          <w:b/>
          <w:bCs/>
          <w:color w:val="2C2C2C"/>
          <w:sz w:val="22"/>
          <w:szCs w:val="22"/>
        </w:rPr>
        <w:t xml:space="preserve">Validation Checks</w:t>
      </w:r>
    </w:p>
    <w:p>
      <w:pPr>
        <w:pStyle w:val="ListParagraph"/>
        <w:numPr>
          <w:ilvl w:val="0"/>
          <w:numId w:val="3"/>
        </w:numPr>
        <w:spacing w:after="40" w:before="40"/>
      </w:pPr>
      <w:r>
        <w:rPr>
          <w:rFonts w:ascii="Arial" w:cs="Arial" w:eastAsia="Arial" w:hAnsi="Arial"/>
          <w:color w:val="444444"/>
          <w:sz w:val="20"/>
          <w:szCs w:val="20"/>
        </w:rPr>
        <w:t xml:space="preserve">Created helper columns: Public FT + PT = Public Total</w:t>
      </w:r>
    </w:p>
    <w:p>
      <w:pPr>
        <w:pStyle w:val="ListParagraph"/>
        <w:numPr>
          <w:ilvl w:val="0"/>
          <w:numId w:val="3"/>
        </w:numPr>
        <w:spacing w:after="40" w:before="40"/>
      </w:pPr>
      <w:r>
        <w:rPr>
          <w:rFonts w:ascii="Arial" w:cs="Arial" w:eastAsia="Arial" w:hAnsi="Arial"/>
          <w:color w:val="444444"/>
          <w:sz w:val="20"/>
          <w:szCs w:val="20"/>
        </w:rPr>
        <w:t xml:space="preserve">Applied conditional formatting to highlight mismatches</w:t>
      </w:r>
    </w:p>
    <w:p>
      <w:pPr>
        <w:pStyle w:val="ListParagraph"/>
        <w:numPr>
          <w:ilvl w:val="0"/>
          <w:numId w:val="3"/>
        </w:numPr>
        <w:spacing w:after="40" w:before="40"/>
      </w:pPr>
      <w:r>
        <w:rPr>
          <w:rFonts w:ascii="Arial" w:cs="Arial" w:eastAsia="Arial" w:hAnsi="Arial"/>
          <w:color w:val="444444"/>
          <w:sz w:val="20"/>
          <w:szCs w:val="20"/>
        </w:rPr>
        <w:t xml:space="preserve">Added a summary count of 'OK' vs 'Mismatch' per validation check</w:t>
      </w:r>
    </w:p>
    <w:p>
      <w:pPr>
        <w:spacing w:after="0" w:before="0"/>
      </w:pPr>
      <w:r>
        <w:rPr>
          <w:sz w:val="10"/>
          <w:szCs w:val="10"/>
        </w:rPr>
        <w:t xml:space="preserve"/>
      </w:r>
    </w:p>
    <w:p>
      <w:pPr>
        <w:spacing w:after="80" w:before="60"/>
      </w:pPr>
      <w:r>
        <w:rPr>
          <w:rFonts w:ascii="Arial" w:cs="Arial" w:eastAsia="Arial" w:hAnsi="Arial"/>
          <w:color w:val="2C2C2C"/>
          <w:sz w:val="22"/>
          <w:szCs w:val="22"/>
        </w:rPr>
        <w:t xml:space="preserve">Output: workplace_employment_Cleaned.xlsx → exported as employment_data.csv for SQL import.</w:t>
      </w:r>
    </w:p>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4. Stage 2 — SQL Analysis (MySQL)</w:t>
      </w:r>
    </w:p>
    <w:p>
      <w:pPr>
        <w:pStyle w:val="Heading2"/>
        <w:spacing w:after="100" w:before="240"/>
      </w:pPr>
      <w:r>
        <w:rPr>
          <w:rFonts w:ascii="Arial" w:cs="Arial" w:eastAsia="Arial" w:hAnsi="Arial"/>
          <w:b/>
          <w:bCs/>
          <w:color w:val="2E75B6"/>
          <w:sz w:val="26"/>
          <w:szCs w:val="26"/>
        </w:rPr>
        <w:t xml:space="preserve">4.1 Cleaning &amp; Validation</w:t>
      </w:r>
    </w:p>
    <w:p>
      <w:pPr>
        <w:pStyle w:val="ListParagraph"/>
        <w:numPr>
          <w:ilvl w:val="0"/>
          <w:numId w:val="2"/>
        </w:numPr>
        <w:spacing w:after="60" w:before="60"/>
      </w:pPr>
      <w:r>
        <w:rPr>
          <w:rFonts w:ascii="Arial" w:cs="Arial" w:eastAsia="Arial" w:hAnsi="Arial"/>
          <w:b w:val="false"/>
          <w:bCs w:val="false"/>
          <w:color w:val="2C2C2C"/>
          <w:sz w:val="22"/>
          <w:szCs w:val="22"/>
        </w:rPr>
        <w:t xml:space="preserve">Filtered metadata rows — deleted rows where Year was NULL or outside 1900–2100</w:t>
      </w:r>
    </w:p>
    <w:p>
      <w:pPr>
        <w:pStyle w:val="ListParagraph"/>
        <w:numPr>
          <w:ilvl w:val="0"/>
          <w:numId w:val="2"/>
        </w:numPr>
        <w:spacing w:after="60" w:before="60"/>
      </w:pPr>
      <w:r>
        <w:rPr>
          <w:rFonts w:ascii="Arial" w:cs="Arial" w:eastAsia="Arial" w:hAnsi="Arial"/>
          <w:b w:val="false"/>
          <w:bCs w:val="false"/>
          <w:color w:val="2C2C2C"/>
          <w:sz w:val="22"/>
          <w:szCs w:val="22"/>
        </w:rPr>
        <w:t xml:space="preserve">Removed empty rows — deleted rows with NULL Year, Code, and Local_Authority_County</w:t>
      </w:r>
    </w:p>
    <w:p>
      <w:pPr>
        <w:pStyle w:val="ListParagraph"/>
        <w:numPr>
          <w:ilvl w:val="0"/>
          <w:numId w:val="2"/>
        </w:numPr>
        <w:spacing w:after="60" w:before="60"/>
      </w:pPr>
      <w:r>
        <w:rPr>
          <w:rFonts w:ascii="Arial" w:cs="Arial" w:eastAsia="Arial" w:hAnsi="Arial"/>
          <w:b w:val="false"/>
          <w:bCs w:val="false"/>
          <w:color w:val="2C2C2C"/>
          <w:sz w:val="22"/>
          <w:szCs w:val="22"/>
        </w:rPr>
        <w:t xml:space="preserve">Trimmed whitespace — applied TRIM() to all text columns</w:t>
      </w:r>
    </w:p>
    <w:p>
      <w:pPr>
        <w:pStyle w:val="ListParagraph"/>
        <w:numPr>
          <w:ilvl w:val="0"/>
          <w:numId w:val="2"/>
        </w:numPr>
        <w:spacing w:after="60" w:before="60"/>
      </w:pPr>
      <w:r>
        <w:rPr>
          <w:rFonts w:ascii="Arial" w:cs="Arial" w:eastAsia="Arial" w:hAnsi="Arial"/>
          <w:b w:val="false"/>
          <w:bCs w:val="false"/>
          <w:color w:val="2C2C2C"/>
          <w:sz w:val="22"/>
          <w:szCs w:val="22"/>
        </w:rPr>
        <w:t xml:space="preserve">Handled NULL numerics — replaced all NULL values with 0 using COALESCE()</w:t>
      </w:r>
    </w:p>
    <w:p>
      <w:pPr>
        <w:pStyle w:val="ListParagraph"/>
        <w:numPr>
          <w:ilvl w:val="0"/>
          <w:numId w:val="2"/>
        </w:numPr>
        <w:spacing w:after="60" w:before="60"/>
      </w:pPr>
      <w:r>
        <w:rPr>
          <w:rFonts w:ascii="Arial" w:cs="Arial" w:eastAsia="Arial" w:hAnsi="Arial"/>
          <w:b w:val="false"/>
          <w:bCs w:val="false"/>
          <w:color w:val="2C2C2C"/>
          <w:sz w:val="22"/>
          <w:szCs w:val="22"/>
        </w:rPr>
        <w:t xml:space="preserve">Added Validation_Status — flagged rows where sector subtotals did not reconcile</w:t>
      </w:r>
    </w:p>
    <w:p>
      <w:pPr>
        <w:pStyle w:val="ListParagraph"/>
        <w:numPr>
          <w:ilvl w:val="0"/>
          <w:numId w:val="2"/>
        </w:numPr>
        <w:spacing w:after="60" w:before="60"/>
      </w:pPr>
      <w:r>
        <w:rPr>
          <w:rFonts w:ascii="Arial" w:cs="Arial" w:eastAsia="Arial" w:hAnsi="Arial"/>
          <w:b w:val="false"/>
          <w:bCs w:val="false"/>
          <w:color w:val="2C2C2C"/>
          <w:sz w:val="22"/>
          <w:szCs w:val="22"/>
        </w:rPr>
        <w:t xml:space="preserve">Checked for negative values across all 12 employment columns</w:t>
      </w:r>
    </w:p>
    <w:p>
      <w:pPr>
        <w:pStyle w:val="ListParagraph"/>
        <w:numPr>
          <w:ilvl w:val="0"/>
          <w:numId w:val="2"/>
        </w:numPr>
        <w:spacing w:after="60" w:before="60"/>
      </w:pPr>
      <w:r>
        <w:rPr>
          <w:rFonts w:ascii="Arial" w:cs="Arial" w:eastAsia="Arial" w:hAnsi="Arial"/>
          <w:b w:val="false"/>
          <w:bCs w:val="false"/>
          <w:color w:val="2C2C2C"/>
          <w:sz w:val="22"/>
          <w:szCs w:val="22"/>
        </w:rPr>
        <w:t xml:space="preserve">Detected duplicates — checked for repeated Year + Code combinations</w:t>
      </w:r>
    </w:p>
    <w:p>
      <w:pPr>
        <w:pStyle w:val="Heading2"/>
        <w:spacing w:after="100" w:before="240"/>
      </w:pPr>
      <w:r>
        <w:rPr>
          <w:rFonts w:ascii="Arial" w:cs="Arial" w:eastAsia="Arial" w:hAnsi="Arial"/>
          <w:b/>
          <w:bCs/>
          <w:color w:val="2E75B6"/>
          <w:sz w:val="26"/>
          <w:szCs w:val="26"/>
        </w:rPr>
        <w:t xml:space="preserve">4.2 Authority Classification</w:t>
      </w:r>
    </w:p>
    <w:tbl>
      <w:tblPr>
        <w:tblW w:type="dxa" w:w="9360"/>
      </w:tblPr>
      <w:tblGrid>
        <w:gridCol w:w="2500"/>
        <w:gridCol w:w="6860"/>
      </w:tblGrid>
      <w:tr>
        <w:trPr>
          <w:tblHeader/>
        </w:trPr>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Authority_Type</w:t>
            </w:r>
          </w:p>
        </w:tc>
        <w:tc>
          <w:tcPr>
            <w:tcW w:type="dxa" w:w="68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Aggregate</w:t>
            </w:r>
          </w:p>
        </w:tc>
        <w:tc>
          <w:tcPr>
            <w:tcW w:type="dxa" w:w="68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Great Britain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Nation</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England, Scotland, Wales</w:t>
            </w:r>
          </w:p>
        </w:tc>
      </w:tr>
      <w:tr>
        <w:tc>
          <w:tcPr>
            <w:tcW w:type="dxa" w:w="2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Region</w:t>
            </w:r>
          </w:p>
        </w:tc>
        <w:tc>
          <w:tcPr>
            <w:tcW w:type="dxa" w:w="68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London, North West, South East, East Midlands</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Authority</w:t>
            </w:r>
          </w:p>
        </w:tc>
        <w:tc>
          <w:tcPr>
            <w:tcW w:type="dxa" w:w="6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London boroughs (ONS Code prefix E09)</w:t>
            </w:r>
          </w:p>
        </w:tc>
      </w:tr>
    </w:tbl>
    <w:p>
      <w:pPr>
        <w:spacing w:after="0" w:before="0"/>
      </w:pPr>
      <w:r>
        <w:rPr>
          <w:sz w:val="10"/>
          <w:szCs w:val="10"/>
        </w:rPr>
        <w:t xml:space="preserve"/>
      </w:r>
    </w:p>
    <w:p>
      <w:pPr>
        <w:pStyle w:val="Heading2"/>
        <w:spacing w:after="100" w:before="240"/>
      </w:pPr>
      <w:r>
        <w:rPr>
          <w:rFonts w:ascii="Arial" w:cs="Arial" w:eastAsia="Arial" w:hAnsi="Arial"/>
          <w:b/>
          <w:bCs/>
          <w:color w:val="2E75B6"/>
          <w:sz w:val="26"/>
          <w:szCs w:val="26"/>
        </w:rPr>
        <w:t xml:space="preserve">4.3 Analytical Queries</w:t>
      </w:r>
    </w:p>
    <w:p>
      <w:pPr>
        <w:pStyle w:val="ListParagraph"/>
        <w:numPr>
          <w:ilvl w:val="0"/>
          <w:numId w:val="2"/>
        </w:numPr>
        <w:spacing w:after="60" w:before="60"/>
      </w:pPr>
      <w:r>
        <w:rPr>
          <w:rFonts w:ascii="Arial" w:cs="Arial" w:eastAsia="Arial" w:hAnsi="Arial"/>
          <w:b w:val="false"/>
          <w:bCs w:val="false"/>
          <w:color w:val="2C2C2C"/>
          <w:sz w:val="22"/>
          <w:szCs w:val="22"/>
        </w:rPr>
        <w:t xml:space="preserve">Year-over-year employment growth — LAG() window function partitioned by Authority_Type</w:t>
      </w:r>
    </w:p>
    <w:p>
      <w:pPr>
        <w:pStyle w:val="ListParagraph"/>
        <w:numPr>
          <w:ilvl w:val="0"/>
          <w:numId w:val="2"/>
        </w:numPr>
        <w:spacing w:after="60" w:before="60"/>
      </w:pPr>
      <w:r>
        <w:rPr>
          <w:rFonts w:ascii="Arial" w:cs="Arial" w:eastAsia="Arial" w:hAnsi="Arial"/>
          <w:b w:val="false"/>
          <w:bCs w:val="false"/>
          <w:color w:val="2C2C2C"/>
          <w:sz w:val="22"/>
          <w:szCs w:val="22"/>
        </w:rPr>
        <w:t xml:space="preserve">Top 5 and Bottom 5 local authorities by total employment</w:t>
      </w:r>
    </w:p>
    <w:p>
      <w:pPr>
        <w:pStyle w:val="ListParagraph"/>
        <w:numPr>
          <w:ilvl w:val="0"/>
          <w:numId w:val="2"/>
        </w:numPr>
        <w:spacing w:after="60" w:before="60"/>
      </w:pPr>
      <w:r>
        <w:rPr>
          <w:rFonts w:ascii="Arial" w:cs="Arial" w:eastAsia="Arial" w:hAnsi="Arial"/>
          <w:b w:val="false"/>
          <w:bCs w:val="false"/>
          <w:color w:val="2C2C2C"/>
          <w:sz w:val="22"/>
          <w:szCs w:val="22"/>
        </w:rPr>
        <w:t xml:space="preserve">Year-wise Top 3 / Bottom 3 boroughs — ROW_NUMBER() within a CTE</w:t>
      </w:r>
    </w:p>
    <w:p>
      <w:pPr>
        <w:pStyle w:val="ListParagraph"/>
        <w:numPr>
          <w:ilvl w:val="0"/>
          <w:numId w:val="2"/>
        </w:numPr>
        <w:spacing w:after="60" w:before="60"/>
      </w:pPr>
      <w:r>
        <w:rPr>
          <w:rFonts w:ascii="Arial" w:cs="Arial" w:eastAsia="Arial" w:hAnsi="Arial"/>
          <w:b w:val="false"/>
          <w:bCs w:val="false"/>
          <w:color w:val="2C2C2C"/>
          <w:sz w:val="22"/>
          <w:szCs w:val="22"/>
        </w:rPr>
        <w:t xml:space="preserve">Public vs Private sector % splits — overall, by year, and by authority type</w:t>
      </w:r>
    </w:p>
    <w:p>
      <w:pPr>
        <w:pStyle w:val="ListParagraph"/>
        <w:numPr>
          <w:ilvl w:val="0"/>
          <w:numId w:val="2"/>
        </w:numPr>
        <w:spacing w:after="60" w:before="60"/>
      </w:pPr>
      <w:r>
        <w:rPr>
          <w:rFonts w:ascii="Arial" w:cs="Arial" w:eastAsia="Arial" w:hAnsi="Arial"/>
          <w:b w:val="false"/>
          <w:bCs w:val="false"/>
          <w:color w:val="2C2C2C"/>
          <w:sz w:val="22"/>
          <w:szCs w:val="22"/>
        </w:rPr>
        <w:t xml:space="preserve">Descriptive statistics — MIN, MAX, AVG, SUM, COUNT by authority type and year</w:t>
      </w:r>
    </w:p>
    <w:p>
      <w:pPr>
        <w:pStyle w:val="Heading2"/>
        <w:spacing w:after="100" w:before="240"/>
      </w:pPr>
      <w:r>
        <w:rPr>
          <w:rFonts w:ascii="Arial" w:cs="Arial" w:eastAsia="Arial" w:hAnsi="Arial"/>
          <w:b/>
          <w:bCs/>
          <w:color w:val="2E75B6"/>
          <w:sz w:val="26"/>
          <w:szCs w:val="26"/>
        </w:rPr>
        <w:t xml:space="preserve">4.4 Analytics View</w:t>
      </w:r>
    </w:p>
    <w:p>
      <w:pPr>
        <w:spacing w:after="80" w:before="60"/>
      </w:pPr>
      <w:r>
        <w:rPr>
          <w:rFonts w:ascii="Arial" w:cs="Arial" w:eastAsia="Arial" w:hAnsi="Arial"/>
          <w:color w:val="2C2C2C"/>
          <w:sz w:val="22"/>
          <w:szCs w:val="22"/>
        </w:rPr>
        <w:t xml:space="preserve">Created VIEW view_employment_full_export joining all cleaned fields with calculated Public_Sector_Percent and Private_Sector_Percent. Exported as sql_employment_data.csv for Python and Power BI.</w:t>
      </w:r>
    </w:p>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Stage 3 — Python Analysis (Jupyter Notebook)</w:t>
      </w:r>
    </w:p>
    <w:p>
      <w:pPr>
        <w:pStyle w:val="Heading2"/>
        <w:spacing w:after="100" w:before="240"/>
      </w:pPr>
      <w:r>
        <w:rPr>
          <w:rFonts w:ascii="Arial" w:cs="Arial" w:eastAsia="Arial" w:hAnsi="Arial"/>
          <w:b/>
          <w:bCs/>
          <w:color w:val="2E75B6"/>
          <w:sz w:val="26"/>
          <w:szCs w:val="26"/>
        </w:rPr>
        <w:t xml:space="preserve">5.1 Objective &amp; Input</w:t>
      </w:r>
    </w:p>
    <w:p>
      <w:pPr>
        <w:spacing w:after="80" w:before="60"/>
      </w:pPr>
      <w:r>
        <w:rPr>
          <w:rFonts w:ascii="Arial" w:cs="Arial" w:eastAsia="Arial" w:hAnsi="Arial"/>
          <w:color w:val="2C2C2C"/>
          <w:sz w:val="22"/>
          <w:szCs w:val="22"/>
        </w:rPr>
        <w:t xml:space="preserve">Perform exploratory data analysis, re-validate the dataset, engineer new features, and compute year-over-year growth statistics using the SQL-exported dataset.</w:t>
      </w:r>
    </w:p>
    <w:p>
      <w:pPr>
        <w:spacing w:after="0" w:before="0"/>
      </w:pPr>
      <w:r>
        <w:rPr>
          <w:sz w:val="10"/>
          <w:szCs w:val="10"/>
        </w:rPr>
        <w:t xml:space="preserve"/>
      </w:r>
    </w:p>
    <w:p>
      <w:pPr>
        <w:spacing w:after="80" w:before="60"/>
      </w:pPr>
      <w:r>
        <w:rPr>
          <w:rFonts w:ascii="Arial" w:cs="Arial" w:eastAsia="Arial" w:hAnsi="Arial"/>
          <w:color w:val="2C2C2C"/>
          <w:sz w:val="22"/>
          <w:szCs w:val="22"/>
        </w:rPr>
        <w:t xml:space="preserve">Input file: sql_employment_data.csv — 528 rows × 19 columns</w:t>
      </w:r>
    </w:p>
    <w:p>
      <w:pPr>
        <w:spacing w:after="80" w:before="60"/>
      </w:pPr>
      <w:r>
        <w:rPr>
          <w:rFonts w:ascii="Arial" w:cs="Arial" w:eastAsia="Arial" w:hAnsi="Arial"/>
          <w:color w:val="2C2C2C"/>
          <w:sz w:val="22"/>
          <w:szCs w:val="22"/>
        </w:rPr>
        <w:t xml:space="preserve">Notebook file: employment_data.ipynb</w:t>
      </w:r>
    </w:p>
    <w:p>
      <w:pPr>
        <w:pStyle w:val="Heading2"/>
        <w:spacing w:after="100" w:before="240"/>
      </w:pPr>
      <w:r>
        <w:rPr>
          <w:rFonts w:ascii="Arial" w:cs="Arial" w:eastAsia="Arial" w:hAnsi="Arial"/>
          <w:b/>
          <w:bCs/>
          <w:color w:val="2E75B6"/>
          <w:sz w:val="26"/>
          <w:szCs w:val="26"/>
        </w:rPr>
        <w:t xml:space="preserve">5.2 Setup &amp; Data Loading</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import pandas as pd</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 = pd.read_csv('sql_employment_data.csv')</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pd.set_option('display.max_rows', 532)</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pd.set_option('display.max_columns', 25)</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pStyle w:val="Heading2"/>
        <w:spacing w:after="100" w:before="240"/>
      </w:pPr>
      <w:r>
        <w:rPr>
          <w:rFonts w:ascii="Arial" w:cs="Arial" w:eastAsia="Arial" w:hAnsi="Arial"/>
          <w:b/>
          <w:bCs/>
          <w:color w:val="2E75B6"/>
          <w:sz w:val="26"/>
          <w:szCs w:val="26"/>
        </w:rPr>
        <w:t xml:space="preserve">5.3 Structure &amp; Descriptive Statistics</w:t>
      </w:r>
    </w:p>
    <w:p>
      <w:pPr>
        <w:spacing w:after="80" w:before="60"/>
      </w:pPr>
      <w:r>
        <w:rPr>
          <w:rFonts w:ascii="Arial" w:cs="Arial" w:eastAsia="Arial" w:hAnsi="Arial"/>
          <w:color w:val="2C2C2C"/>
          <w:sz w:val="22"/>
          <w:szCs w:val="22"/>
        </w:rPr>
        <w:t xml:space="preserve">Three profiling steps were run to understand the dataset before any transformation:</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df.info()                           # 528 rows, 19 columns, dtypes confirmed</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df.describe().drop(columns='Year')  # summary stats excluding Year column</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df.isnull().sum()                   # confirmed 0 null values in all columns</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pStyle w:val="Heading2"/>
        <w:spacing w:after="100" w:before="240"/>
      </w:pPr>
      <w:r>
        <w:rPr>
          <w:rFonts w:ascii="Arial" w:cs="Arial" w:eastAsia="Arial" w:hAnsi="Arial"/>
          <w:b/>
          <w:bCs/>
          <w:color w:val="2E75B6"/>
          <w:sz w:val="26"/>
          <w:szCs w:val="26"/>
        </w:rPr>
        <w:t xml:space="preserve">5.4 Data Cleaning</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Strip leading/trailing whitespace from text columns</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df['Local_Authority_County'] = df['Local_Authority_County'].str.strip()</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df['Code']                   = df['Code'].str.strip()</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df['Authority_Type']         = df['Authority_Type'].str.strip()</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Fill any remaining NaN with 0</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df.fillna(0, inplace=True)</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Remove rows with out-of-range Year values</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 = df[df['Year'].between(1900, 2100)]</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pStyle w:val="Heading2"/>
        <w:spacing w:after="100" w:before="240"/>
      </w:pPr>
      <w:r>
        <w:rPr>
          <w:rFonts w:ascii="Arial" w:cs="Arial" w:eastAsia="Arial" w:hAnsi="Arial"/>
          <w:b/>
          <w:bCs/>
          <w:color w:val="2E75B6"/>
          <w:sz w:val="26"/>
          <w:szCs w:val="26"/>
        </w:rPr>
        <w:t xml:space="preserve">5.5 Re-Validation</w:t>
      </w:r>
    </w:p>
    <w:p>
      <w:pPr>
        <w:spacing w:after="80" w:before="60"/>
      </w:pPr>
      <w:r>
        <w:rPr>
          <w:rFonts w:ascii="Arial" w:cs="Arial" w:eastAsia="Arial" w:hAnsi="Arial"/>
          <w:color w:val="2C2C2C"/>
          <w:sz w:val="22"/>
          <w:szCs w:val="22"/>
        </w:rPr>
        <w:t xml:space="preserve">Validation logic was re-applied in Python to cross-check the SQL-flagged status, using the same four consistency rules:</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df['Validation_Status'] = df.apply(</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lambda row: 'Invalid' if (</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abs(row['Public_Tot_employees']  - (row['Public_FT_employees']  + row['Public_PT_employees']))  &gt; 0 or</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abs(row['Private_Tot_employees'] - (row['Private_FT_employees'] + row['Private_PT_employees'])) &gt; 0 or</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abs(row['Total_Tot_employees']   - (row['Total_FT_Employees']   + row['Total_PT_Employees']))   &gt; 0 or</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abs(row['Total_Tot_employees']   - (row['Public_Tot_employees'] + row['Private_Tot_employees'])) &gt; 0</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 else 'Valid',</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axis=1</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df['Validation_Status'].value_counts()</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Result: Invalid = 380  |  Valid = 148</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pStyle w:val="Heading2"/>
        <w:spacing w:after="100" w:before="240"/>
      </w:pPr>
      <w:r>
        <w:rPr>
          <w:rFonts w:ascii="Arial" w:cs="Arial" w:eastAsia="Arial" w:hAnsi="Arial"/>
          <w:b/>
          <w:bCs/>
          <w:color w:val="2E75B6"/>
          <w:sz w:val="26"/>
          <w:szCs w:val="26"/>
        </w:rPr>
        <w:t xml:space="preserve">5.6 Feature Engineering</w:t>
      </w:r>
    </w:p>
    <w:p>
      <w:pPr>
        <w:spacing w:after="80" w:before="60"/>
      </w:pPr>
      <w:r>
        <w:rPr>
          <w:rFonts w:ascii="Arial" w:cs="Arial" w:eastAsia="Arial" w:hAnsi="Arial"/>
          <w:color w:val="2C2C2C"/>
          <w:sz w:val="22"/>
          <w:szCs w:val="22"/>
        </w:rPr>
        <w:t xml:space="preserve">Three new columns were derived to support sector share and employment pattern analysis:</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Public and private sector share as % of total employment</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df['Public_sector_share']  = round(df['Public_Tot_employment']  * 100 / df['Total_Employment'], 2)</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df['Private_sector_share'] = round(df['Private_Tot_employment'] * 100 / df['Total_Employment'], 2)</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Full-time to part-time ratio (NaN-safe division)</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df['ft_to_pt_ratio'] = df['Total_FT_Employees'] / df['Total_PT_Employees'].replace(0, pd.NA)</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pStyle w:val="Heading2"/>
        <w:spacing w:after="100" w:before="240"/>
      </w:pPr>
      <w:r>
        <w:rPr>
          <w:rFonts w:ascii="Arial" w:cs="Arial" w:eastAsia="Arial" w:hAnsi="Arial"/>
          <w:b/>
          <w:bCs/>
          <w:color w:val="2E75B6"/>
          <w:sz w:val="26"/>
          <w:szCs w:val="26"/>
        </w:rPr>
        <w:t xml:space="preserve">5.7 Authority-Level Aggregation</w:t>
      </w:r>
    </w:p>
    <w:p>
      <w:pPr>
        <w:spacing w:after="80" w:before="60"/>
      </w:pPr>
      <w:r>
        <w:rPr>
          <w:rFonts w:ascii="Arial" w:cs="Arial" w:eastAsia="Arial" w:hAnsi="Arial"/>
          <w:color w:val="2C2C2C"/>
          <w:sz w:val="22"/>
          <w:szCs w:val="22"/>
        </w:rPr>
        <w:t xml:space="preserve">Employment totals and sector share averages were summarised by authority type:</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authority_summary = df.groupby('Authority_Type').agg({</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'Total_Employment':     ['sum', 'mean', 'min', 'max'],</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'Public_sector_share':  'mean',</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'Private_sector_share': 'mean'</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}).reset_index()</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spacing w:after="0" w:before="0"/>
      </w:pPr>
      <w:r>
        <w:rPr>
          <w:sz w:val="10"/>
          <w:szCs w:val="10"/>
        </w:rPr>
        <w:t xml:space="preserve"/>
      </w:r>
    </w:p>
    <w:tbl>
      <w:tblPr>
        <w:tblW w:type="dxa" w:w="9360"/>
      </w:tblPr>
      <w:tblGrid>
        <w:gridCol w:w="2400"/>
        <w:gridCol w:w="2000"/>
        <w:gridCol w:w="1800"/>
        <w:gridCol w:w="1600"/>
        <w:gridCol w:w="1560"/>
      </w:tblGrid>
      <w:tr>
        <w:trPr>
          <w:tblHeader/>
        </w:trPr>
        <w:tc>
          <w:tcPr>
            <w:tcW w:type="dxa" w:w="24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Authority_Type</w:t>
            </w:r>
          </w:p>
        </w:tc>
        <w:tc>
          <w:tcPr>
            <w:tcW w:type="dxa" w:w="2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Employment</w:t>
            </w:r>
          </w:p>
        </w:tc>
        <w:tc>
          <w:tcPr>
            <w:tcW w:type="dxa" w:w="18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5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2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Aggregate</w:t>
            </w:r>
          </w:p>
        </w:tc>
        <w:tc>
          <w:tcPr>
            <w:tcW w:type="dxa" w:w="20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320,983,782</w:t>
            </w:r>
          </w:p>
        </w:tc>
        <w:tc>
          <w:tcPr>
            <w:tcW w:type="dxa" w:w="1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29,180,344</w:t>
            </w:r>
          </w:p>
        </w:tc>
        <w:tc>
          <w:tcPr>
            <w:tcW w:type="dxa" w:w="16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27,671,593</w:t>
            </w:r>
          </w:p>
        </w:tc>
        <w:tc>
          <w:tcPr>
            <w:tcW w:type="dxa" w:w="15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31,087,571</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Authority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106,688,754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277,114</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44,230</w:t>
            </w:r>
          </w:p>
        </w:tc>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3,420,838</w:t>
            </w:r>
          </w:p>
        </w:tc>
      </w:tr>
      <w:tr>
        <w:tc>
          <w:tcPr>
            <w:tcW w:type="dxa" w:w="2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Nation</w:t>
            </w:r>
          </w:p>
        </w:tc>
        <w:tc>
          <w:tcPr>
            <w:tcW w:type="dxa" w:w="20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320,983,783</w:t>
            </w:r>
          </w:p>
        </w:tc>
        <w:tc>
          <w:tcPr>
            <w:tcW w:type="dxa" w:w="1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9,726,781</w:t>
            </w:r>
          </w:p>
        </w:tc>
        <w:tc>
          <w:tcPr>
            <w:tcW w:type="dxa" w:w="16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1,254,284</w:t>
            </w:r>
          </w:p>
        </w:tc>
        <w:tc>
          <w:tcPr>
            <w:tcW w:type="dxa" w:w="15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27,153,990</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Region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278,880,860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2,816,978</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1,031,288</w:t>
            </w:r>
          </w:p>
        </w:tc>
        <w:tc>
          <w:tcPr>
            <w:tcW w:type="dxa" w:w="1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5,368,796</w:t>
            </w:r>
          </w:p>
        </w:tc>
      </w:tr>
    </w:tbl>
    <w:p>
      <w:pPr>
        <w:pStyle w:val="Heading2"/>
        <w:spacing w:after="100" w:before="240"/>
      </w:pPr>
      <w:r>
        <w:rPr>
          <w:rFonts w:ascii="Arial" w:cs="Arial" w:eastAsia="Arial" w:hAnsi="Arial"/>
          <w:b/>
          <w:bCs/>
          <w:color w:val="2E75B6"/>
          <w:sz w:val="26"/>
          <w:szCs w:val="26"/>
        </w:rPr>
        <w:t xml:space="preserve">5.8 Top 5 Authorities by Total Employment</w:t>
      </w:r>
    </w:p>
    <w:p>
      <w:pPr>
        <w:spacing w:after="80" w:before="60"/>
      </w:pPr>
      <w:r>
        <w:rPr>
          <w:rFonts w:ascii="Arial" w:cs="Arial" w:eastAsia="Arial" w:hAnsi="Arial"/>
          <w:color w:val="2C2C2C"/>
          <w:sz w:val="22"/>
          <w:szCs w:val="22"/>
        </w:rPr>
        <w:t xml:space="preserve">Filtered to Local Authority and Region types only — excluding Nation and Aggregate rows which represent cumulative totals:</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filtered_df = df[df['Authority_Type'].isin(['Local Authority', 'Region'])]</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top_5 = filtered_df.groupby('Local_Authority_County')['Total_Employment'].sum().nlargest(5)</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spacing w:after="0" w:before="0"/>
      </w:pPr>
      <w:r>
        <w:rPr>
          <w:sz w:val="10"/>
          <w:szCs w:val="10"/>
        </w:rPr>
        <w:t xml:space="preserve"/>
      </w:r>
    </w:p>
    <w:tbl>
      <w:tblPr>
        <w:tblW w:type="dxa" w:w="9360"/>
      </w:tblPr>
      <w:tblGrid>
        <w:gridCol w:w="800"/>
        <w:gridCol w:w="3500"/>
        <w:gridCol w:w="5060"/>
      </w:tblGrid>
      <w:tr>
        <w:trPr>
          <w:tblHeader/>
        </w:trPr>
        <w:tc>
          <w:tcPr>
            <w:tcW w:type="dxa" w:w="8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0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Employment (2009–2019)</w:t>
            </w:r>
          </w:p>
        </w:tc>
      </w:tr>
      <w:tr>
        <w:tc>
          <w:tcPr>
            <w:tcW w:type="dxa" w:w="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3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London</w:t>
            </w:r>
          </w:p>
        </w:tc>
        <w:tc>
          <w:tcPr>
            <w:tcW w:type="dxa" w:w="50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53,349,093</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South East</w:t>
            </w:r>
          </w:p>
        </w:tc>
        <w:tc>
          <w:tcPr>
            <w:tcW w:type="dxa" w:w="5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45,052,011</w:t>
            </w:r>
          </w:p>
        </w:tc>
      </w:tr>
      <w:tr>
        <w:tc>
          <w:tcPr>
            <w:tcW w:type="dxa" w:w="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3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North West</w:t>
            </w:r>
          </w:p>
        </w:tc>
        <w:tc>
          <w:tcPr>
            <w:tcW w:type="dxa" w:w="50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35,612,590</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Inner London</w:t>
            </w:r>
          </w:p>
        </w:tc>
        <w:tc>
          <w:tcPr>
            <w:tcW w:type="dxa" w:w="5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33,176,453</w:t>
            </w:r>
          </w:p>
        </w:tc>
      </w:tr>
      <w:tr>
        <w:tc>
          <w:tcPr>
            <w:tcW w:type="dxa" w:w="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3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East</w:t>
            </w:r>
          </w:p>
        </w:tc>
        <w:tc>
          <w:tcPr>
            <w:tcW w:type="dxa" w:w="50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29,415,132</w:t>
            </w:r>
          </w:p>
        </w:tc>
      </w:tr>
    </w:tbl>
    <w:p>
      <w:pPr>
        <w:pStyle w:val="Heading2"/>
        <w:spacing w:after="100" w:before="240"/>
      </w:pPr>
      <w:r>
        <w:rPr>
          <w:rFonts w:ascii="Arial" w:cs="Arial" w:eastAsia="Arial" w:hAnsi="Arial"/>
          <w:b/>
          <w:bCs/>
          <w:color w:val="2E75B6"/>
          <w:sz w:val="26"/>
          <w:szCs w:val="26"/>
        </w:rPr>
        <w:t xml:space="preserve">5.9 Year-over-Year Growth Analysis</w:t>
      </w:r>
    </w:p>
    <w:p>
      <w:pPr>
        <w:spacing w:after="80" w:before="60"/>
      </w:pPr>
      <w:r>
        <w:rPr>
          <w:rFonts w:ascii="Arial" w:cs="Arial" w:eastAsia="Arial" w:hAnsi="Arial"/>
          <w:color w:val="2C2C2C"/>
          <w:sz w:val="22"/>
          <w:szCs w:val="22"/>
        </w:rPr>
        <w:t xml:space="preserve">Employment was sorted by authority and year, then the prior year value was shifted into a new column to calculate YoY % growth:</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 = df.sort_values(['Local_Authority_County', 'Year'])</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Shift Total_Employment one year back within each authority group</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df_sorted['prev_year_employment'] = df_sorted.groupby('Local_Authority_County')['Total_Employment'].shift(1)</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Calculate YoY % growth</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df_sorted['yoy_growth_percent'] = round(</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(df_sorted['Total_Employment'] - df_sorted['prev_year_employment']) * 100 /</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df_sorted['prev_year_employment'].replace(0, pd.NA), 2</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Base year 2009 rows have no prior year — fill with N/A</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df_sorted['yoy_growth_percent'] = df_sorted['yoy_growth_percent'].fillna('N/A')</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View top 10 highest growth rows</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df_sorted.sort_values('yoy_growth_percent', ascending=False).head(10)</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 View all rows with negative growth</w:t>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df_sorted[df_sorted['yoy_growth_percent'] &lt; 0].head(10)</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spacing w:after="0" w:before="0"/>
      </w:pPr>
      <w:r>
        <w:rPr>
          <w:sz w:val="10"/>
          <w:szCs w:val="10"/>
        </w:rPr>
        <w:t xml:space="preserve"/>
      </w:r>
    </w:p>
    <w:p>
      <w:pPr>
        <w:spacing w:after="80" w:before="60"/>
      </w:pPr>
      <w:r>
        <w:rPr>
          <w:rFonts w:ascii="Arial" w:cs="Arial" w:eastAsia="Arial" w:hAnsi="Arial"/>
          <w:color w:val="2C2C2C"/>
          <w:sz w:val="22"/>
          <w:szCs w:val="22"/>
        </w:rPr>
        <w:t xml:space="preserve">Top growth authorities identified: Hounslow (2015), Kingston upon Thames (2015), Newham (2012), Tower Hamlets (2011).</w:t>
      </w:r>
    </w:p>
    <w:p>
      <w:pPr>
        <w:spacing w:after="80" w:before="60"/>
      </w:pPr>
      <w:r>
        <w:rPr>
          <w:rFonts w:ascii="Arial" w:cs="Arial" w:eastAsia="Arial" w:hAnsi="Arial"/>
          <w:color w:val="2C2C2C"/>
          <w:sz w:val="22"/>
          <w:szCs w:val="22"/>
        </w:rPr>
        <w:t xml:space="preserve">Notable declines: Barking &amp; Dagenham (2018), Barnet (2010, 2016).</w:t>
      </w:r>
    </w:p>
    <w:p>
      <w:pPr>
        <w:pStyle w:val="Heading2"/>
        <w:spacing w:after="100" w:before="240"/>
      </w:pPr>
      <w:r>
        <w:rPr>
          <w:rFonts w:ascii="Arial" w:cs="Arial" w:eastAsia="Arial" w:hAnsi="Arial"/>
          <w:b/>
          <w:bCs/>
          <w:color w:val="2E75B6"/>
          <w:sz w:val="26"/>
          <w:szCs w:val="26"/>
        </w:rPr>
        <w:t xml:space="preserve">5.10 Export</w:t>
      </w:r>
    </w:p>
    <w:p>
      <w:pPr>
        <w:pBdr>
          <w:top w:val="single" w:color="BDD7EE" w:sz="2" w:space="4"/>
          <w:bottom w:val="single" w:color="BDD7EE" w:sz="2" w:space="4"/>
          <w:left w:val="single" w:color="2E75B6" w:sz="6" w:space="8"/>
          <w:right w:val="single" w:color="BDD7EE" w:sz="2" w:space="4"/>
        </w:pBdr>
        <w:shd w:fill="F0F6FF" w:val="clear"/>
        <w:spacing w:after="0" w:before="80"/>
      </w:pPr>
      <w:r>
        <w:rPr>
          <w:sz w:val="4"/>
          <w:szCs w:val="4"/>
        </w:rPr>
        <w:t xml:space="preserve"/>
      </w:r>
    </w:p>
    <w:p>
      <w:pPr>
        <w:pBdr>
          <w:left w:val="single" w:color="2E75B6" w:sz="6" w:space="8"/>
          <w:right w:val="single" w:color="BDD7EE" w:sz="2" w:space="4"/>
        </w:pBdr>
        <w:shd w:fill="F0F6FF" w:val="clear"/>
        <w:spacing w:after="0" w:before="0"/>
        <w:ind w:left="360"/>
      </w:pPr>
      <w:r>
        <w:rPr>
          <w:rFonts w:ascii="Courier New" w:cs="Courier New" w:eastAsia="Courier New" w:hAnsi="Courier New"/>
          <w:color w:val="1A1A6E"/>
          <w:sz w:val="18"/>
          <w:szCs w:val="18"/>
        </w:rPr>
        <w:t xml:space="preserve">df_sorted.to_csv('python_employment_data.csv', index=False)</w:t>
      </w:r>
    </w:p>
    <w:p>
      <w:pPr>
        <w:pBdr>
          <w:bottom w:val="single" w:color="BDD7EE" w:sz="2" w:space="4"/>
          <w:left w:val="single" w:color="2E75B6" w:sz="6" w:space="8"/>
          <w:right w:val="single" w:color="BDD7EE" w:sz="2" w:space="4"/>
        </w:pBdr>
        <w:shd w:fill="F0F6FF" w:val="clear"/>
        <w:spacing w:after="80" w:before="0"/>
      </w:pPr>
      <w:r>
        <w:rPr>
          <w:sz w:val="4"/>
          <w:szCs w:val="4"/>
        </w:rPr>
        <w:t xml:space="preserve"/>
      </w:r>
    </w:p>
    <w:p>
      <w:pPr>
        <w:spacing w:after="0" w:before="0"/>
      </w:pPr>
      <w:r>
        <w:rPr>
          <w:sz w:val="10"/>
          <w:szCs w:val="10"/>
        </w:rPr>
        <w:t xml:space="preserve"/>
      </w:r>
    </w:p>
    <w:p>
      <w:pPr>
        <w:spacing w:after="80" w:before="60"/>
      </w:pPr>
      <w:r>
        <w:rPr>
          <w:rFonts w:ascii="Arial" w:cs="Arial" w:eastAsia="Arial" w:hAnsi="Arial"/>
          <w:color w:val="2C2C2C"/>
          <w:sz w:val="22"/>
          <w:szCs w:val="22"/>
        </w:rPr>
        <w:t xml:space="preserve">Output: python_employment_data.csv — 528 rows × 23 columns.</w:t>
      </w:r>
    </w:p>
    <w:p>
      <w:pPr>
        <w:spacing w:after="80" w:before="60"/>
      </w:pPr>
      <w:r>
        <w:rPr>
          <w:rFonts w:ascii="Arial" w:cs="Arial" w:eastAsia="Arial" w:hAnsi="Arial"/>
          <w:color w:val="2C2C2C"/>
          <w:sz w:val="22"/>
          <w:szCs w:val="22"/>
        </w:rPr>
        <w:t xml:space="preserve">New columns added by Python: Public_sector_share, Private_sector_share, ft_to_pt_ratio, prev_year_employment, yoy_growth_percent.</w:t>
      </w:r>
    </w:p>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6. Stage 4 — Power BI Dashboard</w:t>
      </w:r>
    </w:p>
    <w:p>
      <w:pPr>
        <w:pStyle w:val="Heading2"/>
        <w:spacing w:after="100" w:before="240"/>
      </w:pPr>
      <w:r>
        <w:rPr>
          <w:rFonts w:ascii="Arial" w:cs="Arial" w:eastAsia="Arial" w:hAnsi="Arial"/>
          <w:b/>
          <w:bCs/>
          <w:color w:val="2E75B6"/>
          <w:sz w:val="26"/>
          <w:szCs w:val="26"/>
        </w:rPr>
        <w:t xml:space="preserve">6.1 Objective</w:t>
      </w:r>
    </w:p>
    <w:p>
      <w:pPr>
        <w:spacing w:after="80" w:before="60"/>
      </w:pPr>
      <w:r>
        <w:rPr>
          <w:rFonts w:ascii="Arial" w:cs="Arial" w:eastAsia="Arial" w:hAnsi="Arial"/>
          <w:color w:val="2C2C2C"/>
          <w:sz w:val="22"/>
          <w:szCs w:val="22"/>
        </w:rPr>
        <w:t xml:space="preserve">Deliver an interactive, presentation-ready dashboard for non-technical stakeholders to explore UK employment trends by region, sector, and year.</w:t>
      </w:r>
    </w:p>
    <w:p>
      <w:pPr>
        <w:pStyle w:val="Heading2"/>
        <w:spacing w:after="100" w:before="240"/>
      </w:pPr>
      <w:r>
        <w:rPr>
          <w:rFonts w:ascii="Arial" w:cs="Arial" w:eastAsia="Arial" w:hAnsi="Arial"/>
          <w:b/>
          <w:bCs/>
          <w:color w:val="2E75B6"/>
          <w:sz w:val="26"/>
          <w:szCs w:val="26"/>
        </w:rPr>
        <w:t xml:space="preserve">6.2 Dashboard Components</w:t>
      </w:r>
    </w:p>
    <w:tbl>
      <w:tblPr>
        <w:tblW w:type="dxa" w:w="9360"/>
      </w:tblPr>
      <w:tblGrid>
        <w:gridCol w:w="2600"/>
        <w:gridCol w:w="6760"/>
      </w:tblGrid>
      <w:tr>
        <w:trPr>
          <w:tblHeader/>
        </w:trPr>
        <w:tc>
          <w:tcPr>
            <w:tcW w:type="dxa" w:w="2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67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KPI Cards</w:t>
            </w:r>
          </w:p>
        </w:tc>
        <w:tc>
          <w:tcPr>
            <w:tcW w:type="dxa" w:w="67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Total Employment, Public Headcount, Private Headcount, Average YoY Growth</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Time-Series Chart</w:t>
            </w:r>
          </w:p>
        </w:tc>
        <w:tc>
          <w:tcPr>
            <w:tcW w:type="dxa" w:w="6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employment trend 2009–2019 by Authority_Type</w:t>
            </w:r>
          </w:p>
        </w:tc>
      </w:tr>
      <w:tr>
        <w:tc>
          <w:tcPr>
            <w:tcW w:type="dxa" w:w="26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Map Visual</w:t>
            </w:r>
          </w:p>
        </w:tc>
        <w:tc>
          <w:tcPr>
            <w:tcW w:type="dxa" w:w="67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Borough-level employment choropleth across London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Donut / Bar Charts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vs Private employment share by year and region</w:t>
            </w:r>
          </w:p>
        </w:tc>
      </w:tr>
      <w:tr>
        <w:tc>
          <w:tcPr>
            <w:tcW w:type="dxa" w:w="26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Top N Slicer</w:t>
            </w:r>
          </w:p>
        </w:tc>
        <w:tc>
          <w:tcPr>
            <w:tcW w:type="dxa" w:w="67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Dynamically rank boroughs by employment volume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YoY Growth Table</w:t>
            </w:r>
          </w:p>
        </w:tc>
        <w:tc>
          <w:tcPr>
            <w:tcW w:type="dxa" w:w="6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Year-over-year % change filterable by authority type</w:t>
            </w:r>
          </w:p>
        </w:tc>
      </w:tr>
      <w:tr>
        <w:tc>
          <w:tcPr>
            <w:tcW w:type="dxa" w:w="26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Year Slicer</w:t>
            </w:r>
          </w:p>
        </w:tc>
        <w:tc>
          <w:tcPr>
            <w:tcW w:type="dxa" w:w="67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Filter all visuals to selected year(s)</w:t>
            </w:r>
          </w:p>
        </w:tc>
      </w:tr>
    </w:tbl>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7. Key Findings</w:t>
      </w:r>
    </w:p>
    <w:tbl>
      <w:tblPr>
        <w:tblW w:type="dxa" w:w="9360"/>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Private sector dominance</w:t>
            </w:r>
          </w:p>
        </w:tc>
        <w:tc>
          <w:tcPr>
            <w:tcW w:type="dxa" w:w="63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~75–80% of total employment was private sector throughout 2009–2019 across all regions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London leads nationally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London, South East, and North West ranked top 3 regions by cumulative employment</w:t>
            </w:r>
          </w:p>
        </w:tc>
      </w:tr>
      <w:tr>
        <w:tc>
          <w:tcPr>
            <w:tcW w:type="dxa" w:w="30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Post-2012 recovery</w:t>
            </w:r>
          </w:p>
        </w:tc>
        <w:tc>
          <w:tcPr>
            <w:tcW w:type="dxa" w:w="63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After a 2010–2011 dip, total employment grew steadily through 2019</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sector contraction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 sector share declined year-on-year from 2009, consistent with UK austerity policy</w:t>
            </w:r>
          </w:p>
        </w:tc>
      </w:tr>
      <w:tr>
        <w:tc>
          <w:tcPr>
            <w:tcW w:type="dxa" w:w="30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High-growth boroughs</w:t>
            </w:r>
          </w:p>
        </w:tc>
        <w:tc>
          <w:tcPr>
            <w:tcW w:type="dxa" w:w="63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Hounslow, Kingston upon Thames, and Newham recorded the highest single-year YoY growth</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380 invalid rows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Sector subtotals did not reconcile in 380 records; retained with Invalid flag for transparency</w:t>
            </w:r>
          </w:p>
        </w:tc>
      </w:tr>
    </w:tbl>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 Skills Demonstrated</w:t>
      </w:r>
    </w:p>
    <w:tbl>
      <w:tblPr>
        <w:tblW w:type="dxa" w:w="9360"/>
      </w:tblPr>
      <w:tblGrid>
        <w:gridCol w:w="1800"/>
        <w:gridCol w:w="7560"/>
      </w:tblGrid>
      <w:tr>
        <w:trPr>
          <w:tblHeader/>
        </w:trPr>
        <w:tc>
          <w:tcPr>
            <w:tcW w:type="dxa" w:w="18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5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Skills Applied</w:t>
            </w:r>
          </w:p>
        </w:tc>
      </w:tr>
      <w:tr>
        <w:tc>
          <w:tcPr>
            <w:tcW w:type="dxa" w:w="1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Excel</w:t>
            </w:r>
          </w:p>
        </w:tc>
        <w:tc>
          <w:tcPr>
            <w:tcW w:type="dxa" w:w="75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Power Query, multi-sheet append, ROUND formula, conditional formatting, data type conversion</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MySQL</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DDL/DML, COALESCE, TRIM, CASE, LAG, ROW_NUMBER, CTEs, window functions, CREATE VIEW</w:t>
            </w:r>
          </w:p>
        </w:tc>
      </w:tr>
      <w:tr>
        <w:tc>
          <w:tcPr>
            <w:tcW w:type="dxa" w:w="18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Python</w:t>
            </w:r>
          </w:p>
        </w:tc>
        <w:tc>
          <w:tcPr>
            <w:tcW w:type="dxa" w:w="75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pandas — .info(), .describe(), .str.strip(), .fillna(), .groupby(), .agg(), .shift(), .nlargest()</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Power BI</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Power Query, DAX measures, map visual, KPI cards, slicers, drillthrough, donut charts</w:t>
            </w:r>
          </w:p>
        </w:tc>
      </w:tr>
    </w:tbl>
    <w:p>
      <w:pPr>
        <w:spacing w:after="0" w:before="0"/>
      </w:pPr>
      <w:r>
        <w:rPr>
          <w:sz w:val="10"/>
          <w:szCs w:val="10"/>
        </w:rPr>
        <w:t xml:space="preserve"/>
      </w:r>
    </w:p>
    <w:p>
      <w:pPr>
        <w:spacing w:after="0" w:before="0"/>
      </w:pPr>
      <w:r>
        <w:rPr>
          <w:sz w:val="10"/>
          <w:szCs w:val="10"/>
        </w:rP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9. File Guide</w:t>
      </w:r>
    </w:p>
    <w:tbl>
      <w:tblPr>
        <w:tblW w:type="dxa" w:w="9360"/>
      </w:tblPr>
      <w:tblGrid>
        <w:gridCol w:w="3400"/>
        <w:gridCol w:w="1500"/>
        <w:gridCol w:w="4460"/>
      </w:tblGrid>
      <w:tr>
        <w:trPr>
          <w:tblHeader/>
        </w:trPr>
        <w:tc>
          <w:tcPr>
            <w:tcW w:type="dxa" w:w="34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workplace-employment-sector-borough.xlsx</w:t>
            </w:r>
          </w:p>
        </w:tc>
        <w:tc>
          <w:tcPr>
            <w:tcW w:type="dxa" w:w="1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Raw</w:t>
            </w:r>
          </w:p>
        </w:tc>
        <w:tc>
          <w:tcPr>
            <w:tcW w:type="dxa" w:w="44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Original ONS source data (11 sheets by year)</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workplace_employment_Cleaned.xlsx</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Excel</w:t>
            </w:r>
          </w:p>
        </w:tc>
        <w:tc>
          <w:tcPr>
            <w:tcW w:type="dxa" w:w="4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Consolidated, cleaned, validated Excel workbook</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employment_data.csv</w:t>
            </w:r>
          </w:p>
        </w:tc>
        <w:tc>
          <w:tcPr>
            <w:tcW w:type="dxa" w:w="1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Excel → SQL</w:t>
            </w:r>
          </w:p>
        </w:tc>
        <w:tc>
          <w:tcPr>
            <w:tcW w:type="dxa" w:w="44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Flat CSV exported from Excel for SQL import</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employment_data.sql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SQL</w:t>
            </w:r>
          </w:p>
        </w:tc>
        <w:tc>
          <w:tcPr>
            <w:tcW w:type="dxa" w:w="4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MySQL script: DDL, cleaning, analytics, VIEW</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sql_employment_data.csv</w:t>
            </w:r>
          </w:p>
        </w:tc>
        <w:tc>
          <w:tcPr>
            <w:tcW w:type="dxa" w:w="1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SQL → Python</w:t>
            </w:r>
          </w:p>
        </w:tc>
        <w:tc>
          <w:tcPr>
            <w:tcW w:type="dxa" w:w="44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SQL VIEW export with sector % columns (19 cols)</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employment_data.ipynb</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w:t>
            </w:r>
          </w:p>
        </w:tc>
        <w:tc>
          <w:tcPr>
            <w:tcW w:type="dxa" w:w="4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Jupyter notebook: EDA, validation, feature engineering</w:t>
            </w:r>
          </w:p>
        </w:tc>
      </w:tr>
      <w:tr>
        <w:tc>
          <w:tcPr>
            <w:tcW w:type="dxa" w:w="34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python_employment_data.csv</w:t>
            </w:r>
          </w:p>
        </w:tc>
        <w:tc>
          <w:tcPr>
            <w:tcW w:type="dxa" w:w="150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Python</w:t>
            </w:r>
          </w:p>
        </w:tc>
        <w:tc>
          <w:tcPr>
            <w:tcW w:type="dxa" w:w="4460"/>
            <w:tcBorders>
              <w:top w:val="single" w:color="BDD7EE" w:sz="1"/>
              <w:left w:val="single" w:color="BDD7EE" w:sz="1"/>
              <w:bottom w:val="single" w:color="BDD7EE" w:sz="1"/>
              <w:right w:val="single" w:color="BDD7EE" w:sz="1"/>
            </w:tcBorders>
            <w:shd w:fill="EBF4FB" w:val="clear"/>
            <w:tcMar>
              <w:top w:type="dxa" w:w="80"/>
              <w:left w:type="dxa" w:w="120"/>
              <w:bottom w:type="dxa" w:w="80"/>
              <w:right w:type="dxa" w:w="120"/>
            </w:tcMar>
          </w:tcPr>
          <w:p>
            <w:r>
              <w:rPr>
                <w:rFonts w:ascii="Arial" w:cs="Arial" w:eastAsia="Arial" w:hAnsi="Arial"/>
                <w:color w:val="2C2C2C"/>
                <w:sz w:val="20"/>
                <w:szCs w:val="20"/>
              </w:rPr>
              <w:t xml:space="preserve">Final enriched dataset with YoY growth (23 cols)</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Employment_Trends_Dashboard.pbix</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Power BI</w:t>
            </w:r>
          </w:p>
        </w:tc>
        <w:tc>
          <w:tcPr>
            <w:tcW w:type="dxa" w:w="4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Interactive dashboard file</w:t>
            </w:r>
          </w:p>
        </w:tc>
      </w:tr>
    </w:tbl>
    <w:p>
      <w:pPr>
        <w:spacing w:after="0" w:before="0"/>
      </w:pPr>
      <w:r>
        <w:rPr>
          <w:sz w:val="10"/>
          <w:szCs w:val="10"/>
        </w:rPr>
        <w:t xml:space="preserve"/>
      </w:r>
    </w:p>
    <w:p>
      <w:pPr>
        <w:pBdr>
          <w:top w:val="single" w:color="BDD7EE" w:sz="4" w:space="4"/>
        </w:pBdr>
        <w:spacing w:after="0" w:before="240"/>
      </w:pPr>
      <w:r>
        <w:rPr>
          <w:rFonts w:ascii="Arial" w:cs="Arial" w:eastAsia="Arial" w:hAnsi="Arial"/>
          <w:color w:val="888888"/>
          <w:sz w:val="18"/>
          <w:szCs w:val="18"/>
        </w:rPr>
        <w:t xml:space="preserve">Data Source: ONS / London Datastore  |  </w:t>
      </w:r>
      <w:r>
        <w:rPr>
          <w:rFonts w:ascii="Arial" w:cs="Arial" w:eastAsia="Arial" w:hAnsi="Arial"/>
          <w:color w:val="2E75B6"/>
          <w:sz w:val="18"/>
          <w:szCs w:val="18"/>
        </w:rPr>
        <w:t xml:space="preserve">https://data.london.gov.uk/dataset/workplace-employment-by-publicprivate-sector-borough-29j6q/</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2026-05-14T20:37:13.982Z</dcterms:created>
  <dcterms:modified xsi:type="dcterms:W3CDTF">2026-05-14T20:37:14.000Z</dcterms:modified>
</cp:coreProperties>
</file>

<file path=docProps/custom.xml><?xml version="1.0" encoding="utf-8"?>
<Properties xmlns="http://schemas.openxmlformats.org/officeDocument/2006/custom-properties" xmlns:vt="http://schemas.openxmlformats.org/officeDocument/2006/docPropsVTypes"/>
</file>