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Role of Computers in Humanities and Humanities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explored the historical development, transformative impact, and ongoing debates regarding the role of computers in humanities and the field of humanities computing over the last three weeks in our class. Through the intersection of computers and the humanities, we have revolutionized how we approach, analyze and interpret human experiences, texts as well as cultural artifacts. Computers have not only enhanced our research capabilities but also reshaped the methodologies within the humanities, creating a space where technology and humanis inquiry comes together.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foundational discourse was the concept of - computer revolution and its importance in humanities computing. Isaac L. Auerbach’s quote mentions this transformation, stating that the computer’s impact on information processing would be more constructive than any other technological development of the 20th century. This perspective highlights how computers have redefined knowledge production and the ontological structures within the humanities. Computers simplify and accelerate tasks that would otherwise be nearly impossible. An example of this is the deciphering of the Mayan hieroglyphic script by Russian mathematicians which took just 40 hours of computer processing which would have taken humans millions of years to accomplish.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Computers have also become indispensable in the fields of archaeology, history, art and music. In archaeology, computers aid in analyzing shards or fragments of artifacts found at digging sites. Dr. Paul S. Martin and his colleagues utilized IBM 7094 computer to process archaeological data from the southwestern United States. This showcases the potential of computational analysis in uncovering historical narratives. Similarly, automatic extraction of information from various sources can be facilitated by computers. Some are historical documents, author attribution and the identification of literary patterns. Thus, making them invaluable tools in historical and literary studies.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history of computing in the humanities highlights an area of ​​special focus on textual sources.This is especially true in the early stages of its development. Susan Hockey and other scholars have emphasized the need for anthropology to use rigorous scientific methods that bridge the gap between the two cultures.  Through a mixture of design and anthropology, researchers precisely tackle complex problems. This leads to the integration of technology into the humanities.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Major developments have taken place since the mid-20th century. Examples: Establishment of centers such as the Center for Literary and Linguistic Computing in Cambridge in 1963. Important conferences and journals include CHum journal and ALLC This emphasized the need for a standardized approach emphasizes the storage and management of electronic information. With the advent of personal computers and the Internet in the 1980s and 1990s, access to digital tools became more democratic. This allowed scholars to innovate without the constraints of academic software.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interesting how digital tools have expanded our capabilities despite new challenges. The shift to the digital age has led to a debate about whether anthropology students should learn coding. This highlights the tension between traditional humanities and new digital capabilities. It is now clear that humanities computing is not limited to technology. It is about using computational techniques to enhance our understanding of human culture and history.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Advances in humanities computing have transformed the profession. This creates a new approach to research, representation, and collaboration. The digital transformation offers unparalleled opportunities. It also calls for a critical approach that balances technological advancement with the core humane values of empathy, creativity and cultural sensitivity. It is essential to remember that technology is a tool. It is up to us to shape its use in ways that enhance our understanding of the human experience.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