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60"/>
        <w:jc w:val="center"/>
      </w:pPr>
      <w:r>
        <w:rPr>
          <w:rFonts w:ascii="Aptos Display" w:hAnsi="Aptos Display"/>
          <w:b/>
          <w:color w:val="2F5597"/>
          <w:sz w:val="26"/>
        </w:rPr>
        <w:t>RESEARCH PROGRESS REPORT</w:t>
      </w:r>
    </w:p>
    <w:p>
      <w:pPr>
        <w:pStyle w:val="Title"/>
        <w:jc w:val="center"/>
      </w:pPr>
      <w:r>
        <w:t>CMX RGB-T Semantic Segmentation</w:t>
      </w:r>
    </w:p>
    <w:p>
      <w:pPr>
        <w:jc w:val="center"/>
      </w:pPr>
      <w:r>
        <w:rPr>
          <w:color w:val="44546A"/>
          <w:sz w:val="26"/>
        </w:rPr>
        <w:t>Baseline Reproduction, E1 Ablation, and Proposed Research Roadmap</w:t>
      </w:r>
    </w:p>
    <w:p/>
    <w:tbl>
      <w:tblPr>
        <w:tblStyle w:val="TableGrid"/>
        <w:tblW w:type="auto" w:w="0"/>
        <w:jc w:val="center"/>
        <w:tblLook w:firstColumn="1" w:firstRow="1" w:lastColumn="0" w:lastRow="0" w:noHBand="0" w:noVBand="1" w:val="04A0"/>
      </w:tblPr>
      <w:tblGrid>
        <w:gridCol w:w="5040"/>
        <w:gridCol w:w="5040"/>
      </w:tblGrid>
      <w:tr>
        <w:tc>
          <w:tcPr>
            <w:tcW w:type="dxa" w:w="2448"/>
            <w:vAlign w:val="center"/>
            <w:shd w:fill="17365D"/>
          </w:tcPr>
          <w:p>
            <w:pPr>
              <w:spacing w:after="20"/>
            </w:pPr>
            <w:r/>
            <w:r>
              <w:rPr>
                <w:rFonts w:ascii="Aptos" w:hAnsi="Aptos"/>
                <w:b/>
                <w:color w:val="FFFFFF"/>
                <w:sz w:val="18"/>
              </w:rPr>
              <w:t>Project detail</w:t>
            </w:r>
          </w:p>
        </w:tc>
        <w:tc>
          <w:tcPr>
            <w:tcW w:type="dxa" w:w="7488"/>
            <w:vAlign w:val="center"/>
            <w:shd w:fill="17365D"/>
          </w:tcPr>
          <w:p>
            <w:pPr>
              <w:spacing w:after="20"/>
            </w:pPr>
            <w:r/>
            <w:r>
              <w:rPr>
                <w:rFonts w:ascii="Aptos" w:hAnsi="Aptos"/>
                <w:b/>
                <w:color w:val="FFFFFF"/>
                <w:sz w:val="18"/>
              </w:rPr>
              <w:t>Current status</w:t>
            </w:r>
          </w:p>
        </w:tc>
      </w:tr>
      <w:tr>
        <w:tc>
          <w:tcPr>
            <w:tcW w:type="dxa" w:w="2448"/>
            <w:vAlign w:val="center"/>
          </w:tcPr>
          <w:p>
            <w:pPr>
              <w:spacing w:after="20"/>
            </w:pPr>
            <w:r/>
            <w:r>
              <w:rPr>
                <w:rFonts w:ascii="Aptos" w:hAnsi="Aptos"/>
                <w:b w:val="0"/>
                <w:sz w:val="17"/>
              </w:rPr>
              <w:t>Task</w:t>
            </w:r>
          </w:p>
        </w:tc>
        <w:tc>
          <w:tcPr>
            <w:tcW w:type="dxa" w:w="7488"/>
            <w:vAlign w:val="center"/>
          </w:tcPr>
          <w:p>
            <w:pPr>
              <w:spacing w:after="20"/>
            </w:pPr>
            <w:r/>
            <w:r>
              <w:rPr>
                <w:rFonts w:ascii="Aptos" w:hAnsi="Aptos"/>
                <w:b w:val="0"/>
                <w:sz w:val="17"/>
              </w:rPr>
              <w:t>RGB-T multimodal semantic segmentation</w:t>
            </w:r>
          </w:p>
        </w:tc>
      </w:tr>
      <w:tr>
        <w:tc>
          <w:tcPr>
            <w:tcW w:type="dxa" w:w="2448"/>
            <w:vAlign w:val="center"/>
            <w:shd w:fill="F2F6FA"/>
          </w:tcPr>
          <w:p>
            <w:pPr>
              <w:spacing w:after="20"/>
            </w:pPr>
            <w:r/>
            <w:r>
              <w:rPr>
                <w:rFonts w:ascii="Aptos" w:hAnsi="Aptos"/>
                <w:b w:val="0"/>
                <w:sz w:val="17"/>
              </w:rPr>
              <w:t>Dataset / split</w:t>
            </w:r>
          </w:p>
        </w:tc>
        <w:tc>
          <w:tcPr>
            <w:tcW w:type="dxa" w:w="7488"/>
            <w:vAlign w:val="center"/>
            <w:shd w:fill="F2F6FA"/>
          </w:tcPr>
          <w:p>
            <w:pPr>
              <w:spacing w:after="20"/>
            </w:pPr>
            <w:r/>
            <w:r>
              <w:rPr>
                <w:rFonts w:ascii="Aptos" w:hAnsi="Aptos"/>
                <w:b w:val="0"/>
                <w:sz w:val="17"/>
              </w:rPr>
              <w:t>TDD dataset; validation split recorded as val.txt</w:t>
            </w:r>
          </w:p>
        </w:tc>
      </w:tr>
      <w:tr>
        <w:tc>
          <w:tcPr>
            <w:tcW w:type="dxa" w:w="2448"/>
            <w:vAlign w:val="center"/>
          </w:tcPr>
          <w:p>
            <w:pPr>
              <w:spacing w:after="20"/>
            </w:pPr>
            <w:r/>
            <w:r>
              <w:rPr>
                <w:rFonts w:ascii="Aptos" w:hAnsi="Aptos"/>
                <w:b w:val="0"/>
                <w:sz w:val="17"/>
              </w:rPr>
              <w:t>Backbone</w:t>
            </w:r>
          </w:p>
        </w:tc>
        <w:tc>
          <w:tcPr>
            <w:tcW w:type="dxa" w:w="7488"/>
            <w:vAlign w:val="center"/>
          </w:tcPr>
          <w:p>
            <w:pPr>
              <w:spacing w:after="20"/>
            </w:pPr>
            <w:r/>
            <w:r>
              <w:rPr>
                <w:rFonts w:ascii="Aptos" w:hAnsi="Aptos"/>
                <w:b w:val="0"/>
                <w:sz w:val="17"/>
              </w:rPr>
              <w:t>SegFormer MiT-B2</w:t>
            </w:r>
          </w:p>
        </w:tc>
      </w:tr>
      <w:tr>
        <w:tc>
          <w:tcPr>
            <w:tcW w:type="dxa" w:w="2448"/>
            <w:vAlign w:val="center"/>
            <w:shd w:fill="F2F6FA"/>
          </w:tcPr>
          <w:p>
            <w:pPr>
              <w:spacing w:after="20"/>
            </w:pPr>
            <w:r/>
            <w:r>
              <w:rPr>
                <w:rFonts w:ascii="Aptos" w:hAnsi="Aptos"/>
                <w:b w:val="0"/>
                <w:sz w:val="17"/>
              </w:rPr>
              <w:t>Completed experiments</w:t>
            </w:r>
          </w:p>
        </w:tc>
        <w:tc>
          <w:tcPr>
            <w:tcW w:type="dxa" w:w="7488"/>
            <w:vAlign w:val="center"/>
            <w:shd w:fill="F2F6FA"/>
          </w:tcPr>
          <w:p>
            <w:pPr>
              <w:spacing w:after="20"/>
            </w:pPr>
            <w:r/>
            <w:r>
              <w:rPr>
                <w:rFonts w:ascii="Aptos" w:hAnsi="Aptos"/>
                <w:b w:val="0"/>
                <w:sz w:val="17"/>
              </w:rPr>
              <w:t>E0: Original CMX; E1: FRM ablation</w:t>
            </w:r>
          </w:p>
        </w:tc>
      </w:tr>
      <w:tr>
        <w:tc>
          <w:tcPr>
            <w:tcW w:type="dxa" w:w="2448"/>
            <w:vAlign w:val="center"/>
          </w:tcPr>
          <w:p>
            <w:pPr>
              <w:spacing w:after="20"/>
            </w:pPr>
            <w:r/>
            <w:r>
              <w:rPr>
                <w:rFonts w:ascii="Aptos" w:hAnsi="Aptos"/>
                <w:b w:val="0"/>
                <w:sz w:val="17"/>
              </w:rPr>
              <w:t>Current next experiment</w:t>
            </w:r>
          </w:p>
        </w:tc>
        <w:tc>
          <w:tcPr>
            <w:tcW w:type="dxa" w:w="7488"/>
            <w:vAlign w:val="center"/>
          </w:tcPr>
          <w:p>
            <w:pPr>
              <w:spacing w:after="20"/>
            </w:pPr>
            <w:r/>
            <w:r>
              <w:rPr>
                <w:rFonts w:ascii="Aptos" w:hAnsi="Aptos"/>
                <w:b w:val="0"/>
                <w:sz w:val="17"/>
              </w:rPr>
              <w:t>E2: basic additive fusion experiment (F_fused = F_R + F_T), as planned</w:t>
            </w:r>
          </w:p>
        </w:tc>
      </w:tr>
      <w:tr>
        <w:tc>
          <w:tcPr>
            <w:tcW w:type="dxa" w:w="2448"/>
            <w:vAlign w:val="center"/>
            <w:shd w:fill="F2F6FA"/>
          </w:tcPr>
          <w:p>
            <w:pPr>
              <w:spacing w:after="20"/>
            </w:pPr>
            <w:r/>
            <w:r>
              <w:rPr>
                <w:rFonts w:ascii="Aptos" w:hAnsi="Aptos"/>
                <w:b w:val="0"/>
                <w:sz w:val="17"/>
              </w:rPr>
              <w:t>Research direction under consideration</w:t>
            </w:r>
          </w:p>
        </w:tc>
        <w:tc>
          <w:tcPr>
            <w:tcW w:type="dxa" w:w="7488"/>
            <w:vAlign w:val="center"/>
            <w:shd w:fill="F2F6FA"/>
          </w:tcPr>
          <w:p>
            <w:pPr>
              <w:spacing w:after="20"/>
            </w:pPr>
            <w:r/>
            <w:r>
              <w:rPr>
                <w:rFonts w:ascii="Aptos" w:hAnsi="Aptos"/>
                <w:b w:val="0"/>
                <w:sz w:val="17"/>
              </w:rPr>
              <w:t>A complementarity-aware fusion mechanism, subject to literature review and novelty validation</w:t>
            </w:r>
          </w:p>
        </w:tc>
      </w:tr>
      <w:tr>
        <w:tc>
          <w:tcPr>
            <w:tcW w:type="dxa" w:w="2448"/>
            <w:vAlign w:val="center"/>
          </w:tcPr>
          <w:p>
            <w:pPr>
              <w:spacing w:after="20"/>
            </w:pPr>
            <w:r/>
            <w:r>
              <w:rPr>
                <w:rFonts w:ascii="Aptos" w:hAnsi="Aptos"/>
                <w:b w:val="0"/>
                <w:sz w:val="17"/>
              </w:rPr>
              <w:t>Report date</w:t>
            </w:r>
          </w:p>
        </w:tc>
        <w:tc>
          <w:tcPr>
            <w:tcW w:type="dxa" w:w="7488"/>
            <w:vAlign w:val="center"/>
          </w:tcPr>
          <w:p>
            <w:pPr>
              <w:spacing w:after="20"/>
            </w:pPr>
            <w:r/>
            <w:r>
              <w:rPr>
                <w:rFonts w:ascii="Aptos" w:hAnsi="Aptos"/>
                <w:b w:val="0"/>
                <w:sz w:val="17"/>
              </w:rPr>
              <w:t>13 October 2026</w:t>
            </w:r>
          </w:p>
        </w:tc>
      </w:tr>
    </w:tbl>
    <w:p>
      <w:pPr>
        <w:spacing w:after="20"/>
      </w:pPr>
    </w:p>
    <w:p>
      <w:pPr>
        <w:spacing w:before="200"/>
        <w:jc w:val="center"/>
      </w:pPr>
      <w:r>
        <w:rPr>
          <w:i/>
          <w:color w:val="666666"/>
          <w:sz w:val="18"/>
        </w:rPr>
        <w:t>Prepared as a factual progress update; proposed research claims are explicitly marked as hypotheses.</w:t>
      </w:r>
    </w:p>
    <w:p>
      <w:r>
        <w:br w:type="page"/>
      </w:r>
    </w:p>
    <w:p>
      <w:pPr>
        <w:pStyle w:val="Heading1"/>
      </w:pPr>
      <w:r>
        <w:t>Executive Summary</w:t>
      </w:r>
    </w:p>
    <w:p>
      <w:r>
        <w:t>This report documents the completed baseline reproduction (E0) and the first architectural ablation (E1) for RGB-T semantic segmentation using CMX with a SegFormer MiT-B2 backbone on the TDD setup. The recorded validation mIoU was 62.726% for E0 and 60.944% for E1, a decrease of 1.782 percentage points when the Feature Rectification Module (FRM) was removed while the Feature Fusion Module (FFM) was retained.</w:t>
      </w:r>
    </w:p>
    <w:p>
      <w:r>
        <w:t>The project has established a baseline and a first ablation result. The immediate next step is E2, which tests a simple additive fusion operation under a controlled evaluation protocol. A later research direction may investigate complementarity-aware fusion, but literature review found direct prior work on this concept, including CCFFNet (2022). Therefore, novelty cannot be claimed from the general idea or its name alone.</w:t>
      </w:r>
    </w:p>
    <w:p>
      <w:pPr>
        <w:pStyle w:val="Heading1"/>
      </w:pPr>
      <w:r>
        <w:t>1. Research Objective</w:t>
      </w:r>
    </w:p>
    <w:p>
      <w:r>
        <w:t>The objective is to reproduce a CMX RGB-X/RGB-T semantic segmentation baseline, test how architectural components influence performance, and then investigate whether a clearly specified fusion design can improve segmentation quality, robustness, or efficiency. The longer-term goal is a defensible research contribution supported by controlled experiments and comparison with relevant published methods.</w:t>
      </w:r>
    </w:p>
    <w:p>
      <w:pPr>
        <w:pStyle w:val="Heading1"/>
      </w:pPr>
      <w:r>
        <w:t>2. Experimental Setup</w:t>
      </w:r>
    </w:p>
    <w:tbl>
      <w:tblPr>
        <w:tblStyle w:val="TableGrid"/>
        <w:tblW w:type="auto" w:w="0"/>
        <w:jc w:val="center"/>
        <w:tblLook w:firstColumn="1" w:firstRow="1" w:lastColumn="0" w:lastRow="0" w:noHBand="0" w:noVBand="1" w:val="04A0"/>
      </w:tblPr>
      <w:tblGrid>
        <w:gridCol w:w="5040"/>
        <w:gridCol w:w="5040"/>
      </w:tblGrid>
      <w:tr>
        <w:tc>
          <w:tcPr>
            <w:tcW w:type="dxa" w:w="2880"/>
            <w:vAlign w:val="center"/>
            <w:shd w:fill="17365D"/>
          </w:tcPr>
          <w:p>
            <w:pPr>
              <w:spacing w:after="20"/>
            </w:pPr>
            <w:r/>
            <w:r>
              <w:rPr>
                <w:rFonts w:ascii="Aptos" w:hAnsi="Aptos"/>
                <w:b/>
                <w:color w:val="FFFFFF"/>
                <w:sz w:val="18"/>
              </w:rPr>
              <w:t>Setting</w:t>
            </w:r>
          </w:p>
        </w:tc>
        <w:tc>
          <w:tcPr>
            <w:tcW w:type="dxa" w:w="7056"/>
            <w:vAlign w:val="center"/>
            <w:shd w:fill="17365D"/>
          </w:tcPr>
          <w:p>
            <w:pPr>
              <w:spacing w:after="20"/>
            </w:pPr>
            <w:r/>
            <w:r>
              <w:rPr>
                <w:rFonts w:ascii="Aptos" w:hAnsi="Aptos"/>
                <w:b/>
                <w:color w:val="FFFFFF"/>
                <w:sz w:val="18"/>
              </w:rPr>
              <w:t>Recorded configuration</w:t>
            </w:r>
          </w:p>
        </w:tc>
      </w:tr>
      <w:tr>
        <w:tc>
          <w:tcPr>
            <w:tcW w:type="dxa" w:w="2880"/>
            <w:vAlign w:val="center"/>
          </w:tcPr>
          <w:p>
            <w:pPr>
              <w:spacing w:after="20"/>
            </w:pPr>
            <w:r/>
            <w:r>
              <w:rPr>
                <w:rFonts w:ascii="Aptos" w:hAnsi="Aptos"/>
                <w:b w:val="0"/>
                <w:sz w:val="17"/>
              </w:rPr>
              <w:t>Dataset / task</w:t>
            </w:r>
          </w:p>
        </w:tc>
        <w:tc>
          <w:tcPr>
            <w:tcW w:type="dxa" w:w="7056"/>
            <w:vAlign w:val="center"/>
          </w:tcPr>
          <w:p>
            <w:pPr>
              <w:spacing w:after="20"/>
            </w:pPr>
            <w:r/>
            <w:r>
              <w:rPr>
                <w:rFonts w:ascii="Aptos" w:hAnsi="Aptos"/>
                <w:b w:val="0"/>
                <w:sz w:val="17"/>
              </w:rPr>
              <w:t>TDD; RGB-T semantic segmentation</w:t>
            </w:r>
          </w:p>
        </w:tc>
      </w:tr>
      <w:tr>
        <w:tc>
          <w:tcPr>
            <w:tcW w:type="dxa" w:w="2880"/>
            <w:vAlign w:val="center"/>
            <w:shd w:fill="F2F6FA"/>
          </w:tcPr>
          <w:p>
            <w:pPr>
              <w:spacing w:after="20"/>
            </w:pPr>
            <w:r/>
            <w:r>
              <w:rPr>
                <w:rFonts w:ascii="Aptos" w:hAnsi="Aptos"/>
                <w:b w:val="0"/>
                <w:sz w:val="17"/>
              </w:rPr>
              <w:t>Backbone</w:t>
            </w:r>
          </w:p>
        </w:tc>
        <w:tc>
          <w:tcPr>
            <w:tcW w:type="dxa" w:w="7056"/>
            <w:vAlign w:val="center"/>
            <w:shd w:fill="F2F6FA"/>
          </w:tcPr>
          <w:p>
            <w:pPr>
              <w:spacing w:after="20"/>
            </w:pPr>
            <w:r/>
            <w:r>
              <w:rPr>
                <w:rFonts w:ascii="Aptos" w:hAnsi="Aptos"/>
                <w:b w:val="0"/>
                <w:sz w:val="17"/>
              </w:rPr>
              <w:t>SegFormer MiT-B2</w:t>
            </w:r>
          </w:p>
        </w:tc>
      </w:tr>
      <w:tr>
        <w:tc>
          <w:tcPr>
            <w:tcW w:type="dxa" w:w="2880"/>
            <w:vAlign w:val="center"/>
          </w:tcPr>
          <w:p>
            <w:pPr>
              <w:spacing w:after="20"/>
            </w:pPr>
            <w:r/>
            <w:r>
              <w:rPr>
                <w:rFonts w:ascii="Aptos" w:hAnsi="Aptos"/>
                <w:b w:val="0"/>
                <w:sz w:val="17"/>
              </w:rPr>
              <w:t>Pretrained weights</w:t>
            </w:r>
          </w:p>
        </w:tc>
        <w:tc>
          <w:tcPr>
            <w:tcW w:type="dxa" w:w="7056"/>
            <w:vAlign w:val="center"/>
          </w:tcPr>
          <w:p>
            <w:pPr>
              <w:spacing w:after="20"/>
            </w:pPr>
            <w:r/>
            <w:r>
              <w:rPr>
                <w:rFonts w:ascii="Aptos" w:hAnsi="Aptos"/>
                <w:b w:val="0"/>
                <w:sz w:val="17"/>
              </w:rPr>
              <w:t>pretrained/segformer/mit_b2.pth</w:t>
            </w:r>
          </w:p>
        </w:tc>
      </w:tr>
      <w:tr>
        <w:tc>
          <w:tcPr>
            <w:tcW w:type="dxa" w:w="2880"/>
            <w:vAlign w:val="center"/>
            <w:shd w:fill="F2F6FA"/>
          </w:tcPr>
          <w:p>
            <w:pPr>
              <w:spacing w:after="20"/>
            </w:pPr>
            <w:r/>
            <w:r>
              <w:rPr>
                <w:rFonts w:ascii="Aptos" w:hAnsi="Aptos"/>
                <w:b w:val="0"/>
                <w:sz w:val="17"/>
              </w:rPr>
              <w:t>Optimizer</w:t>
            </w:r>
          </w:p>
        </w:tc>
        <w:tc>
          <w:tcPr>
            <w:tcW w:type="dxa" w:w="7056"/>
            <w:vAlign w:val="center"/>
            <w:shd w:fill="F2F6FA"/>
          </w:tcPr>
          <w:p>
            <w:pPr>
              <w:spacing w:after="20"/>
            </w:pPr>
            <w:r/>
            <w:r>
              <w:rPr>
                <w:rFonts w:ascii="Aptos" w:hAnsi="Aptos"/>
                <w:b w:val="0"/>
                <w:sz w:val="17"/>
              </w:rPr>
              <w:t>AdamW</w:t>
            </w:r>
          </w:p>
        </w:tc>
      </w:tr>
      <w:tr>
        <w:tc>
          <w:tcPr>
            <w:tcW w:type="dxa" w:w="2880"/>
            <w:vAlign w:val="center"/>
          </w:tcPr>
          <w:p>
            <w:pPr>
              <w:spacing w:after="20"/>
            </w:pPr>
            <w:r/>
            <w:r>
              <w:rPr>
                <w:rFonts w:ascii="Aptos" w:hAnsi="Aptos"/>
                <w:b w:val="0"/>
                <w:sz w:val="17"/>
              </w:rPr>
              <w:t>Initial learning rate</w:t>
            </w:r>
          </w:p>
        </w:tc>
        <w:tc>
          <w:tcPr>
            <w:tcW w:type="dxa" w:w="7056"/>
            <w:vAlign w:val="center"/>
          </w:tcPr>
          <w:p>
            <w:pPr>
              <w:spacing w:after="20"/>
            </w:pPr>
            <w:r/>
            <w:r>
              <w:rPr>
                <w:rFonts w:ascii="Aptos" w:hAnsi="Aptos"/>
                <w:b w:val="0"/>
                <w:sz w:val="17"/>
              </w:rPr>
              <w:t>6 × 10⁻⁵</w:t>
            </w:r>
          </w:p>
        </w:tc>
      </w:tr>
      <w:tr>
        <w:tc>
          <w:tcPr>
            <w:tcW w:type="dxa" w:w="2880"/>
            <w:vAlign w:val="center"/>
            <w:shd w:fill="F2F6FA"/>
          </w:tcPr>
          <w:p>
            <w:pPr>
              <w:spacing w:after="20"/>
            </w:pPr>
            <w:r/>
            <w:r>
              <w:rPr>
                <w:rFonts w:ascii="Aptos" w:hAnsi="Aptos"/>
                <w:b w:val="0"/>
                <w:sz w:val="17"/>
              </w:rPr>
              <w:t>Weight decay</w:t>
            </w:r>
          </w:p>
        </w:tc>
        <w:tc>
          <w:tcPr>
            <w:tcW w:type="dxa" w:w="7056"/>
            <w:vAlign w:val="center"/>
            <w:shd w:fill="F2F6FA"/>
          </w:tcPr>
          <w:p>
            <w:pPr>
              <w:spacing w:after="20"/>
            </w:pPr>
            <w:r/>
            <w:r>
              <w:rPr>
                <w:rFonts w:ascii="Aptos" w:hAnsi="Aptos"/>
                <w:b w:val="0"/>
                <w:sz w:val="17"/>
              </w:rPr>
              <w:t>0.01</w:t>
            </w:r>
          </w:p>
        </w:tc>
      </w:tr>
      <w:tr>
        <w:tc>
          <w:tcPr>
            <w:tcW w:type="dxa" w:w="2880"/>
            <w:vAlign w:val="center"/>
          </w:tcPr>
          <w:p>
            <w:pPr>
              <w:spacing w:after="20"/>
            </w:pPr>
            <w:r/>
            <w:r>
              <w:rPr>
                <w:rFonts w:ascii="Aptos" w:hAnsi="Aptos"/>
                <w:b w:val="0"/>
                <w:sz w:val="17"/>
              </w:rPr>
              <w:t>Batch size</w:t>
            </w:r>
          </w:p>
        </w:tc>
        <w:tc>
          <w:tcPr>
            <w:tcW w:type="dxa" w:w="7056"/>
            <w:vAlign w:val="center"/>
          </w:tcPr>
          <w:p>
            <w:pPr>
              <w:spacing w:after="20"/>
            </w:pPr>
            <w:r/>
            <w:r>
              <w:rPr>
                <w:rFonts w:ascii="Aptos" w:hAnsi="Aptos"/>
                <w:b w:val="0"/>
                <w:sz w:val="17"/>
              </w:rPr>
              <w:t>2</w:t>
            </w:r>
          </w:p>
        </w:tc>
      </w:tr>
      <w:tr>
        <w:tc>
          <w:tcPr>
            <w:tcW w:type="dxa" w:w="2880"/>
            <w:vAlign w:val="center"/>
            <w:shd w:fill="F2F6FA"/>
          </w:tcPr>
          <w:p>
            <w:pPr>
              <w:spacing w:after="20"/>
            </w:pPr>
            <w:r/>
            <w:r>
              <w:rPr>
                <w:rFonts w:ascii="Aptos" w:hAnsi="Aptos"/>
                <w:b w:val="0"/>
                <w:sz w:val="17"/>
              </w:rPr>
              <w:t>Training duration</w:t>
            </w:r>
          </w:p>
        </w:tc>
        <w:tc>
          <w:tcPr>
            <w:tcW w:type="dxa" w:w="7056"/>
            <w:vAlign w:val="center"/>
            <w:shd w:fill="F2F6FA"/>
          </w:tcPr>
          <w:p>
            <w:pPr>
              <w:spacing w:after="20"/>
            </w:pPr>
            <w:r/>
            <w:r>
              <w:rPr>
                <w:rFonts w:ascii="Aptos" w:hAnsi="Aptos"/>
                <w:b w:val="0"/>
                <w:sz w:val="17"/>
              </w:rPr>
              <w:t>100 epochs</w:t>
            </w:r>
          </w:p>
        </w:tc>
      </w:tr>
      <w:tr>
        <w:tc>
          <w:tcPr>
            <w:tcW w:type="dxa" w:w="2880"/>
            <w:vAlign w:val="center"/>
          </w:tcPr>
          <w:p>
            <w:pPr>
              <w:spacing w:after="20"/>
            </w:pPr>
            <w:r/>
            <w:r>
              <w:rPr>
                <w:rFonts w:ascii="Aptos" w:hAnsi="Aptos"/>
                <w:b w:val="0"/>
                <w:sz w:val="17"/>
              </w:rPr>
              <w:t>Warm-up</w:t>
            </w:r>
          </w:p>
        </w:tc>
        <w:tc>
          <w:tcPr>
            <w:tcW w:type="dxa" w:w="7056"/>
            <w:vAlign w:val="center"/>
          </w:tcPr>
          <w:p>
            <w:pPr>
              <w:spacing w:after="20"/>
            </w:pPr>
            <w:r/>
            <w:r>
              <w:rPr>
                <w:rFonts w:ascii="Aptos" w:hAnsi="Aptos"/>
                <w:b w:val="0"/>
                <w:sz w:val="17"/>
              </w:rPr>
              <w:t>10 epochs</w:t>
            </w:r>
          </w:p>
        </w:tc>
      </w:tr>
      <w:tr>
        <w:tc>
          <w:tcPr>
            <w:tcW w:type="dxa" w:w="2880"/>
            <w:vAlign w:val="center"/>
            <w:shd w:fill="F2F6FA"/>
          </w:tcPr>
          <w:p>
            <w:pPr>
              <w:spacing w:after="20"/>
            </w:pPr>
            <w:r/>
            <w:r>
              <w:rPr>
                <w:rFonts w:ascii="Aptos" w:hAnsi="Aptos"/>
                <w:b w:val="0"/>
                <w:sz w:val="17"/>
              </w:rPr>
              <w:t>Crop size</w:t>
            </w:r>
          </w:p>
        </w:tc>
        <w:tc>
          <w:tcPr>
            <w:tcW w:type="dxa" w:w="7056"/>
            <w:vAlign w:val="center"/>
            <w:shd w:fill="F2F6FA"/>
          </w:tcPr>
          <w:p>
            <w:pPr>
              <w:spacing w:after="20"/>
            </w:pPr>
            <w:r/>
            <w:r>
              <w:rPr>
                <w:rFonts w:ascii="Aptos" w:hAnsi="Aptos"/>
                <w:b w:val="0"/>
                <w:sz w:val="17"/>
              </w:rPr>
              <w:t>480 × 640</w:t>
            </w:r>
          </w:p>
        </w:tc>
      </w:tr>
      <w:tr>
        <w:tc>
          <w:tcPr>
            <w:tcW w:type="dxa" w:w="2880"/>
            <w:vAlign w:val="center"/>
          </w:tcPr>
          <w:p>
            <w:pPr>
              <w:spacing w:after="20"/>
            </w:pPr>
            <w:r/>
            <w:r>
              <w:rPr>
                <w:rFonts w:ascii="Aptos" w:hAnsi="Aptos"/>
                <w:b w:val="0"/>
                <w:sz w:val="17"/>
              </w:rPr>
              <w:t>Random seed</w:t>
            </w:r>
          </w:p>
        </w:tc>
        <w:tc>
          <w:tcPr>
            <w:tcW w:type="dxa" w:w="7056"/>
            <w:vAlign w:val="center"/>
          </w:tcPr>
          <w:p>
            <w:pPr>
              <w:spacing w:after="20"/>
            </w:pPr>
            <w:r/>
            <w:r>
              <w:rPr>
                <w:rFonts w:ascii="Aptos" w:hAnsi="Aptos"/>
                <w:b w:val="0"/>
                <w:sz w:val="17"/>
              </w:rPr>
              <w:t>12345</w:t>
            </w:r>
          </w:p>
        </w:tc>
      </w:tr>
      <w:tr>
        <w:tc>
          <w:tcPr>
            <w:tcW w:type="dxa" w:w="2880"/>
            <w:vAlign w:val="center"/>
            <w:shd w:fill="F2F6FA"/>
          </w:tcPr>
          <w:p>
            <w:pPr>
              <w:spacing w:after="20"/>
            </w:pPr>
            <w:r/>
            <w:r>
              <w:rPr>
                <w:rFonts w:ascii="Aptos" w:hAnsi="Aptos"/>
                <w:b w:val="0"/>
                <w:sz w:val="17"/>
              </w:rPr>
              <w:t>Validation split</w:t>
            </w:r>
          </w:p>
        </w:tc>
        <w:tc>
          <w:tcPr>
            <w:tcW w:type="dxa" w:w="7056"/>
            <w:vAlign w:val="center"/>
            <w:shd w:fill="F2F6FA"/>
          </w:tcPr>
          <w:p>
            <w:pPr>
              <w:spacing w:after="20"/>
            </w:pPr>
            <w:r/>
            <w:r>
              <w:rPr>
                <w:rFonts w:ascii="Aptos" w:hAnsi="Aptos"/>
                <w:b w:val="0"/>
                <w:sz w:val="17"/>
              </w:rPr>
              <w:t>val.txt</w:t>
            </w:r>
          </w:p>
        </w:tc>
      </w:tr>
    </w:tbl>
    <w:p>
      <w:pPr>
        <w:spacing w:after="20"/>
      </w:pPr>
    </w:p>
    <w:p>
      <w:r>
        <w:t>The recorded setup indicates that E0 and E1 used the same pretrained backbone file and matching principal training settings. The logged SHA-256 prefix and suffix for the pretrained file were ced22617 and 9d0e092. For a fully auditable report, retain the complete hash, configuration files, software versions, and exact evaluation commands in the experiment archive.</w:t>
      </w:r>
    </w:p>
    <w:p>
      <w:pPr>
        <w:pStyle w:val="Heading1"/>
      </w:pPr>
      <w:r>
        <w:t>3. E0 — Original CMX Baseline</w:t>
      </w:r>
    </w:p>
    <w:p>
      <w:r>
        <w:t>E0 used the original CMX architecture, retaining both the Cross-Modal Feature Rectification Module (FRM/CM-FRM) and the Feature Fusion Module (FFM). Its epoch-100 checkpoint was evaluated on the recorded validation split.</w:t>
      </w:r>
    </w:p>
    <w:tbl>
      <w:tblPr>
        <w:tblStyle w:val="TableGrid"/>
        <w:tblW w:type="auto" w:w="0"/>
        <w:jc w:val="center"/>
        <w:tblLook w:firstColumn="1" w:firstRow="1" w:lastColumn="0" w:lastRow="0" w:noHBand="0" w:noVBand="1" w:val="04A0"/>
      </w:tblPr>
      <w:tblGrid>
        <w:gridCol w:w="5040"/>
        <w:gridCol w:w="5040"/>
      </w:tblGrid>
      <w:tr>
        <w:tc>
          <w:tcPr>
            <w:tcW w:type="dxa" w:w="5328"/>
            <w:vAlign w:val="center"/>
            <w:shd w:fill="17365D"/>
          </w:tcPr>
          <w:p>
            <w:pPr>
              <w:spacing w:after="20"/>
            </w:pPr>
            <w:r/>
            <w:r>
              <w:rPr>
                <w:rFonts w:ascii="Aptos" w:hAnsi="Aptos"/>
                <w:b/>
                <w:color w:val="FFFFFF"/>
                <w:sz w:val="18"/>
              </w:rPr>
              <w:t>Metric</w:t>
            </w:r>
          </w:p>
        </w:tc>
        <w:tc>
          <w:tcPr>
            <w:tcW w:type="dxa" w:w="4608"/>
            <w:vAlign w:val="center"/>
            <w:shd w:fill="17365D"/>
          </w:tcPr>
          <w:p>
            <w:pPr>
              <w:spacing w:after="20"/>
            </w:pPr>
            <w:r/>
            <w:r>
              <w:rPr>
                <w:rFonts w:ascii="Aptos" w:hAnsi="Aptos"/>
                <w:b/>
                <w:color w:val="FFFFFF"/>
                <w:sz w:val="18"/>
              </w:rPr>
              <w:t>E0 result</w:t>
            </w:r>
          </w:p>
        </w:tc>
      </w:tr>
      <w:tr>
        <w:tc>
          <w:tcPr>
            <w:tcW w:type="dxa" w:w="5328"/>
            <w:vAlign w:val="center"/>
          </w:tcPr>
          <w:p>
            <w:pPr>
              <w:spacing w:after="20"/>
            </w:pPr>
            <w:r/>
            <w:r>
              <w:rPr>
                <w:rFonts w:ascii="Aptos" w:hAnsi="Aptos"/>
                <w:b w:val="0"/>
                <w:sz w:val="17"/>
              </w:rPr>
              <w:t>Mean Intersection over Union (mIoU)</w:t>
            </w:r>
          </w:p>
        </w:tc>
        <w:tc>
          <w:tcPr>
            <w:tcW w:type="dxa" w:w="4608"/>
            <w:vAlign w:val="center"/>
          </w:tcPr>
          <w:p>
            <w:pPr>
              <w:spacing w:after="20"/>
            </w:pPr>
            <w:r/>
            <w:r>
              <w:rPr>
                <w:rFonts w:ascii="Aptos" w:hAnsi="Aptos"/>
                <w:b w:val="0"/>
                <w:sz w:val="17"/>
              </w:rPr>
              <w:t>62.726%</w:t>
            </w:r>
          </w:p>
        </w:tc>
      </w:tr>
      <w:tr>
        <w:tc>
          <w:tcPr>
            <w:tcW w:type="dxa" w:w="5328"/>
            <w:vAlign w:val="center"/>
            <w:shd w:fill="F2F6FA"/>
          </w:tcPr>
          <w:p>
            <w:pPr>
              <w:spacing w:after="20"/>
            </w:pPr>
            <w:r/>
            <w:r>
              <w:rPr>
                <w:rFonts w:ascii="Aptos" w:hAnsi="Aptos"/>
                <w:b w:val="0"/>
                <w:sz w:val="17"/>
              </w:rPr>
              <w:t>Pixel Accuracy (PA)</w:t>
            </w:r>
          </w:p>
        </w:tc>
        <w:tc>
          <w:tcPr>
            <w:tcW w:type="dxa" w:w="4608"/>
            <w:vAlign w:val="center"/>
            <w:shd w:fill="F2F6FA"/>
          </w:tcPr>
          <w:p>
            <w:pPr>
              <w:spacing w:after="20"/>
            </w:pPr>
            <w:r/>
            <w:r>
              <w:rPr>
                <w:rFonts w:ascii="Aptos" w:hAnsi="Aptos"/>
                <w:b w:val="0"/>
                <w:sz w:val="17"/>
              </w:rPr>
              <w:t>97.732%</w:t>
            </w:r>
          </w:p>
        </w:tc>
      </w:tr>
      <w:tr>
        <w:tc>
          <w:tcPr>
            <w:tcW w:type="dxa" w:w="5328"/>
            <w:vAlign w:val="center"/>
          </w:tcPr>
          <w:p>
            <w:pPr>
              <w:spacing w:after="20"/>
            </w:pPr>
            <w:r/>
            <w:r>
              <w:rPr>
                <w:rFonts w:ascii="Aptos" w:hAnsi="Aptos"/>
                <w:b w:val="0"/>
                <w:sz w:val="17"/>
              </w:rPr>
              <w:t>Mean Pixel Accuracy (mPA)</w:t>
            </w:r>
          </w:p>
        </w:tc>
        <w:tc>
          <w:tcPr>
            <w:tcW w:type="dxa" w:w="4608"/>
            <w:vAlign w:val="center"/>
          </w:tcPr>
          <w:p>
            <w:pPr>
              <w:spacing w:after="20"/>
            </w:pPr>
            <w:r/>
            <w:r>
              <w:rPr>
                <w:rFonts w:ascii="Aptos" w:hAnsi="Aptos"/>
                <w:b w:val="0"/>
                <w:sz w:val="17"/>
              </w:rPr>
              <w:t>72.982%</w:t>
            </w:r>
          </w:p>
        </w:tc>
      </w:tr>
    </w:tbl>
    <w:p>
      <w:pPr>
        <w:spacing w:after="20"/>
      </w:pPr>
    </w:p>
    <w:p>
      <w:r>
        <w:t>E0 is the reference point for the project’s ablations. These numbers are validation metrics from the recorded experiment and should not be described as held-out test-set results unless a separate test evaluation log exists.</w:t>
      </w:r>
    </w:p>
    <w:p>
      <w:pPr>
        <w:pStyle w:val="Heading1"/>
      </w:pPr>
      <w:r>
        <w:t>4. E1 — FRM Ablation</w:t>
      </w:r>
    </w:p>
    <w:p>
      <w:r>
        <w:t>E1 was designed to measure the effect of removing FRM. The FRM was removed at the fusion stages while FFM was retained. E1 was trained for 100 epochs from the same pretrained MiT-B2 initialization rather than simply continuing training from the E0 checkpoint.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016"/>
            <w:vAlign w:val="center"/>
            <w:shd w:fill="17365D"/>
          </w:tcPr>
          <w:p>
            <w:pPr>
              <w:spacing w:after="20"/>
            </w:pPr>
            <w:r/>
            <w:r>
              <w:rPr>
                <w:rFonts w:ascii="Aptos" w:hAnsi="Aptos"/>
                <w:b/>
                <w:color w:val="FFFFFF"/>
                <w:sz w:val="18"/>
              </w:rPr>
              <w:t>Metric</w:t>
            </w:r>
          </w:p>
        </w:tc>
        <w:tc>
          <w:tcPr>
            <w:tcW w:type="dxa" w:w="2448"/>
            <w:vAlign w:val="center"/>
            <w:shd w:fill="17365D"/>
          </w:tcPr>
          <w:p>
            <w:pPr>
              <w:spacing w:after="20"/>
            </w:pPr>
            <w:r/>
            <w:r>
              <w:rPr>
                <w:rFonts w:ascii="Aptos" w:hAnsi="Aptos"/>
                <w:b/>
                <w:color w:val="FFFFFF"/>
                <w:sz w:val="18"/>
              </w:rPr>
              <w:t>E0: Original CMX</w:t>
            </w:r>
          </w:p>
        </w:tc>
        <w:tc>
          <w:tcPr>
            <w:tcW w:type="dxa" w:w="2448"/>
            <w:vAlign w:val="center"/>
            <w:shd w:fill="17365D"/>
          </w:tcPr>
          <w:p>
            <w:pPr>
              <w:spacing w:after="20"/>
            </w:pPr>
            <w:r/>
            <w:r>
              <w:rPr>
                <w:rFonts w:ascii="Aptos" w:hAnsi="Aptos"/>
                <w:b/>
                <w:color w:val="FFFFFF"/>
                <w:sz w:val="18"/>
              </w:rPr>
              <w:t>E1: FRM removed</w:t>
            </w:r>
          </w:p>
        </w:tc>
        <w:tc>
          <w:tcPr>
            <w:tcW w:type="dxa" w:w="3024"/>
            <w:vAlign w:val="center"/>
            <w:shd w:fill="17365D"/>
          </w:tcPr>
          <w:p>
            <w:pPr>
              <w:spacing w:after="20"/>
            </w:pPr>
            <w:r/>
            <w:r>
              <w:rPr>
                <w:rFonts w:ascii="Aptos" w:hAnsi="Aptos"/>
                <w:b/>
                <w:color w:val="FFFFFF"/>
                <w:sz w:val="18"/>
              </w:rPr>
              <w:t>Difference (E1 − E0)</w:t>
            </w:r>
          </w:p>
        </w:tc>
      </w:tr>
      <w:tr>
        <w:tc>
          <w:tcPr>
            <w:tcW w:type="dxa" w:w="2016"/>
            <w:vAlign w:val="center"/>
          </w:tcPr>
          <w:p>
            <w:pPr>
              <w:spacing w:after="20"/>
            </w:pPr>
            <w:r/>
            <w:r>
              <w:rPr>
                <w:rFonts w:ascii="Aptos" w:hAnsi="Aptos"/>
                <w:b w:val="0"/>
                <w:sz w:val="17"/>
              </w:rPr>
              <w:t>mIoU</w:t>
            </w:r>
          </w:p>
        </w:tc>
        <w:tc>
          <w:tcPr>
            <w:tcW w:type="dxa" w:w="2448"/>
            <w:vAlign w:val="center"/>
          </w:tcPr>
          <w:p>
            <w:pPr>
              <w:spacing w:after="20"/>
            </w:pPr>
            <w:r/>
            <w:r>
              <w:rPr>
                <w:rFonts w:ascii="Aptos" w:hAnsi="Aptos"/>
                <w:b w:val="0"/>
                <w:sz w:val="17"/>
              </w:rPr>
              <w:t>62.726%</w:t>
            </w:r>
          </w:p>
        </w:tc>
        <w:tc>
          <w:tcPr>
            <w:tcW w:type="dxa" w:w="2448"/>
            <w:vAlign w:val="center"/>
          </w:tcPr>
          <w:p>
            <w:pPr>
              <w:spacing w:after="20"/>
            </w:pPr>
            <w:r/>
            <w:r>
              <w:rPr>
                <w:rFonts w:ascii="Aptos" w:hAnsi="Aptos"/>
                <w:b w:val="0"/>
                <w:sz w:val="17"/>
              </w:rPr>
              <w:t>60.944%</w:t>
            </w:r>
          </w:p>
        </w:tc>
        <w:tc>
          <w:tcPr>
            <w:tcW w:type="dxa" w:w="3024"/>
            <w:vAlign w:val="center"/>
          </w:tcPr>
          <w:p>
            <w:pPr>
              <w:spacing w:after="20"/>
            </w:pPr>
            <w:r/>
            <w:r>
              <w:rPr>
                <w:rFonts w:ascii="Aptos" w:hAnsi="Aptos"/>
                <w:b w:val="0"/>
                <w:sz w:val="17"/>
              </w:rPr>
              <w:t>−1.782 percentage points</w:t>
            </w:r>
          </w:p>
        </w:tc>
      </w:tr>
      <w:tr>
        <w:tc>
          <w:tcPr>
            <w:tcW w:type="dxa" w:w="2016"/>
            <w:vAlign w:val="center"/>
            <w:shd w:fill="F2F6FA"/>
          </w:tcPr>
          <w:p>
            <w:pPr>
              <w:spacing w:after="20"/>
            </w:pPr>
            <w:r/>
            <w:r>
              <w:rPr>
                <w:rFonts w:ascii="Aptos" w:hAnsi="Aptos"/>
                <w:b w:val="0"/>
                <w:sz w:val="17"/>
              </w:rPr>
              <w:t>Pixel Accuracy</w:t>
            </w:r>
          </w:p>
        </w:tc>
        <w:tc>
          <w:tcPr>
            <w:tcW w:type="dxa" w:w="2448"/>
            <w:vAlign w:val="center"/>
            <w:shd w:fill="F2F6FA"/>
          </w:tcPr>
          <w:p>
            <w:pPr>
              <w:spacing w:after="20"/>
            </w:pPr>
            <w:r/>
            <w:r>
              <w:rPr>
                <w:rFonts w:ascii="Aptos" w:hAnsi="Aptos"/>
                <w:b w:val="0"/>
                <w:sz w:val="17"/>
              </w:rPr>
              <w:t>97.732%</w:t>
            </w:r>
          </w:p>
        </w:tc>
        <w:tc>
          <w:tcPr>
            <w:tcW w:type="dxa" w:w="2448"/>
            <w:vAlign w:val="center"/>
            <w:shd w:fill="F2F6FA"/>
          </w:tcPr>
          <w:p>
            <w:pPr>
              <w:spacing w:after="20"/>
            </w:pPr>
            <w:r/>
            <w:r>
              <w:rPr>
                <w:rFonts w:ascii="Aptos" w:hAnsi="Aptos"/>
                <w:b w:val="0"/>
                <w:sz w:val="17"/>
              </w:rPr>
              <w:t>97.684%</w:t>
            </w:r>
          </w:p>
        </w:tc>
        <w:tc>
          <w:tcPr>
            <w:tcW w:type="dxa" w:w="3024"/>
            <w:vAlign w:val="center"/>
            <w:shd w:fill="F2F6FA"/>
          </w:tcPr>
          <w:p>
            <w:pPr>
              <w:spacing w:after="20"/>
            </w:pPr>
            <w:r/>
            <w:r>
              <w:rPr>
                <w:rFonts w:ascii="Aptos" w:hAnsi="Aptos"/>
                <w:b w:val="0"/>
                <w:sz w:val="17"/>
              </w:rPr>
              <w:t>−0.048 percentage points</w:t>
            </w:r>
          </w:p>
        </w:tc>
      </w:tr>
      <w:tr>
        <w:tc>
          <w:tcPr>
            <w:tcW w:type="dxa" w:w="2016"/>
            <w:vAlign w:val="center"/>
          </w:tcPr>
          <w:p>
            <w:pPr>
              <w:spacing w:after="20"/>
            </w:pPr>
            <w:r/>
            <w:r>
              <w:rPr>
                <w:rFonts w:ascii="Aptos" w:hAnsi="Aptos"/>
                <w:b w:val="0"/>
                <w:sz w:val="17"/>
              </w:rPr>
              <w:t>Mean Pixel Accuracy</w:t>
            </w:r>
          </w:p>
        </w:tc>
        <w:tc>
          <w:tcPr>
            <w:tcW w:type="dxa" w:w="2448"/>
            <w:vAlign w:val="center"/>
          </w:tcPr>
          <w:p>
            <w:pPr>
              <w:spacing w:after="20"/>
            </w:pPr>
            <w:r/>
            <w:r>
              <w:rPr>
                <w:rFonts w:ascii="Aptos" w:hAnsi="Aptos"/>
                <w:b w:val="0"/>
                <w:sz w:val="17"/>
              </w:rPr>
              <w:t>72.982%</w:t>
            </w:r>
          </w:p>
        </w:tc>
        <w:tc>
          <w:tcPr>
            <w:tcW w:type="dxa" w:w="2448"/>
            <w:vAlign w:val="center"/>
          </w:tcPr>
          <w:p>
            <w:pPr>
              <w:spacing w:after="20"/>
            </w:pPr>
            <w:r/>
            <w:r>
              <w:rPr>
                <w:rFonts w:ascii="Aptos" w:hAnsi="Aptos"/>
                <w:b w:val="0"/>
                <w:sz w:val="17"/>
              </w:rPr>
              <w:t>70.880%</w:t>
            </w:r>
          </w:p>
        </w:tc>
        <w:tc>
          <w:tcPr>
            <w:tcW w:type="dxa" w:w="3024"/>
            <w:vAlign w:val="center"/>
          </w:tcPr>
          <w:p>
            <w:pPr>
              <w:spacing w:after="20"/>
            </w:pPr>
            <w:r/>
            <w:r>
              <w:rPr>
                <w:rFonts w:ascii="Aptos" w:hAnsi="Aptos"/>
                <w:b w:val="0"/>
                <w:sz w:val="17"/>
              </w:rPr>
              <w:t>−2.102 percentage points</w:t>
            </w:r>
          </w:p>
        </w:tc>
      </w:tr>
    </w:tbl>
    <w:p>
      <w:pPr>
        <w:spacing w:after="20"/>
      </w:pPr>
    </w:p>
    <w:p>
      <w:r>
        <w:t>Interpretation: the E1 result is consistent with FRM contributing useful cross-modal calibration information in this setup. This is a preliminary empirical observation, not proof that FRM alone caused the full difference; training variability and implementation details can also influence results. Repeated runs with multiple seeds would strengthen the conclusion.</w:t>
      </w:r>
    </w:p>
    <w:p>
      <w:pPr>
        <w:pStyle w:val="Heading1"/>
      </w:pPr>
      <w:r>
        <w:t>5. Evaluation and Consistency Checks</w:t>
      </w:r>
    </w:p>
    <w:p>
      <w:pPr>
        <w:pStyle w:val="ListBullet"/>
        <w:spacing w:after="40"/>
      </w:pPr>
      <w:r>
        <w:t>Both E0 and E1 were evaluated using their respective epoch-100 checkpoints.</w:t>
      </w:r>
    </w:p>
    <w:p>
      <w:pPr>
        <w:pStyle w:val="ListBullet"/>
        <w:spacing w:after="40"/>
      </w:pPr>
      <w:r>
        <w:t>The recorded evaluation used the same TDD validation split and evaluation script.</w:t>
      </w:r>
    </w:p>
    <w:p>
      <w:pPr>
        <w:pStyle w:val="ListBullet"/>
        <w:spacing w:after="40"/>
      </w:pPr>
      <w:r>
        <w:t>The project record states that E0 and E1 each produced 392 matching prediction masks, supporting that the evaluated sample count was aligned.</w:t>
      </w:r>
    </w:p>
    <w:p>
      <w:pPr>
        <w:pStyle w:val="ListBullet"/>
        <w:spacing w:after="40"/>
      </w:pPr>
      <w:r>
        <w:t>The pretrained SegFormer MiT-B2 weights and the principal training configuration were recorded as matching.</w:t>
      </w:r>
    </w:p>
    <w:p>
      <w:pPr>
        <w:pStyle w:val="ListBullet"/>
        <w:spacing w:after="40"/>
      </w:pPr>
      <w:r>
        <w:t>Validation results must be kept separate from test-set results. Do not claim test validation was completed unless a separate test log and test split can be produced.</w:t>
      </w:r>
    </w:p>
    <w:p>
      <w:pPr>
        <w:pStyle w:val="ListBullet"/>
        <w:spacing w:after="40"/>
      </w:pPr>
      <w:r>
        <w:t>For reproducibility, archive full configs, commit IDs, complete checkpoint hashes, class-wise IoUs, logs, and exact evaluation commands.</w:t>
      </w:r>
    </w:p>
    <w:p>
      <w:pPr>
        <w:pStyle w:val="Heading1"/>
      </w:pPr>
      <w:r>
        <w:t>6. Why mIoU Is the Primary Metric</w:t>
      </w:r>
    </w:p>
    <w:p>
      <w:r>
        <w:t>Pixel accuracy measures the fraction of pixels classified correctly overall. Mean IoU computes intersection-over-union per class and averages across classes. In segmentation, large or common classes can dominate pixel accuracy while smaller or difficult classes remain weak. Therefore, mIoU and class-wise IoU are important for assessing whether a fusion change improves the segmentation task rather than only the most frequent pixels.</w:t>
      </w:r>
    </w:p>
    <w:p>
      <w:r>
        <w:t>The recorded E1 class-wise IoUs were: Unlabeled 97.726%, Car 87.001%, Person 71.608%, Bike 72.682%, Curve 36.603%, Car stop 32.581%, Guardrail 45.387%, Color cone 56.540%, and Bump 48.367%. These results identify difficult classes that should be tracked in future experiments. Confirm the class ordering and evaluation implementation when publishing these values.</w:t>
      </w:r>
    </w:p>
    <w:p>
      <w:pPr>
        <w:pStyle w:val="Heading1"/>
      </w:pPr>
      <w:r>
        <w:t>7. What We Will Do Next</w:t>
      </w:r>
    </w:p>
    <w:p>
      <w:pPr>
        <w:pStyle w:val="Heading2"/>
      </w:pPr>
      <w:r>
        <w:t>E2 — Basic additive fusion</w:t>
      </w:r>
    </w:p>
    <w:p>
      <w:r>
        <w:t>The immediate experiment is E2, using a simple element-wise additive fusion operation, written as F_fused = F_R + F_T, where F_R and F_T denote the aligned RGB and thermal feature tensors. The implementation must first be checked against CMX’s existing FFM so the experiment changes only the intended fusion component and does not accidentally remove or alter unrelated blocks.</w:t>
      </w:r>
    </w:p>
    <w:p>
      <w:pPr>
        <w:pStyle w:val="ListBullet"/>
        <w:spacing w:after="40"/>
      </w:pPr>
      <w:r>
        <w:t>Keep the dataset split, pretrained initialization, training duration, optimizer, and evaluation script fixed where possible.</w:t>
      </w:r>
    </w:p>
    <w:p>
      <w:pPr>
        <w:pStyle w:val="ListBullet"/>
        <w:spacing w:after="40"/>
      </w:pPr>
      <w:r>
        <w:t>Record the exact architectural differences between E0, E1, and E2, including tensor shapes and which modules remain enabled.</w:t>
      </w:r>
    </w:p>
    <w:p>
      <w:pPr>
        <w:pStyle w:val="ListBullet"/>
        <w:spacing w:after="40"/>
      </w:pPr>
      <w:r>
        <w:t>Evaluate the epoch-100 checkpoint using mIoU, PA, mPA, per-class IoU, and the same 392 validation samples.</w:t>
      </w:r>
    </w:p>
    <w:p>
      <w:pPr>
        <w:pStyle w:val="ListBullet"/>
        <w:spacing w:after="40"/>
      </w:pPr>
      <w:r>
        <w:t>Record parameters, FLOPs or another consistent compute estimate, and inference latency if these can be measured reliably.</w:t>
      </w:r>
    </w:p>
    <w:p>
      <w:pPr>
        <w:pStyle w:val="ListBullet"/>
        <w:spacing w:after="40"/>
      </w:pPr>
      <w:r>
        <w:t>Interpret E2 as a controlled fusion baseline, not as a novel method or a guaranteed improvement.</w:t>
      </w:r>
    </w:p>
    <w:p>
      <w:pPr>
        <w:pStyle w:val="Heading2"/>
      </w:pPr>
      <w:r>
        <w:t>After E2 — A more specific fusion hypothesis</w:t>
      </w:r>
    </w:p>
    <w:p>
      <w:r>
        <w:t>A possible next direction is to design a fusion mechanism that distinguishes (a) information shared by RGB and thermal, (b) useful modality-specific information, and (c) redundant or unreliable responses. For example, a learned spatial/channel gate could estimate where each modality contributes useful evidence, while an explicit complementary-feature term could encourage retention of information present in one modality but not adequately represented in the other. This is a research hypothesis to test, not an already validated design.</w:t>
      </w:r>
    </w:p>
    <w:p>
      <w:pPr>
        <w:pStyle w:val="ListNumber"/>
        <w:spacing w:after="40"/>
      </w:pPr>
      <w:r>
        <w:t>Define the exact module mathematically and specify where it enters the CMX architecture.</w:t>
      </w:r>
    </w:p>
    <w:p>
      <w:pPr>
        <w:pStyle w:val="ListNumber"/>
        <w:spacing w:after="40"/>
      </w:pPr>
      <w:r>
        <w:t>Implement one change at a time, starting from a controlled E2/E0-compatible baseline.</w:t>
      </w:r>
    </w:p>
    <w:p>
      <w:pPr>
        <w:pStyle w:val="ListNumber"/>
        <w:spacing w:after="40"/>
      </w:pPr>
      <w:r>
        <w:t>Run ablations: shared-only, modality-specific/complementary term, learned gate, and the complete module.</w:t>
      </w:r>
    </w:p>
    <w:p>
      <w:pPr>
        <w:pStyle w:val="ListNumber"/>
        <w:spacing w:after="40"/>
      </w:pPr>
      <w:r>
        <w:t>Compare against E0 CMX and relevant prior methods using the same split and evaluation protocol.</w:t>
      </w:r>
    </w:p>
    <w:p>
      <w:pPr>
        <w:pStyle w:val="ListNumber"/>
        <w:spacing w:after="40"/>
      </w:pPr>
      <w:r>
        <w:t>Report mean and standard deviation across multiple seeds if resources permit; analyze class-wise gains and failures.</w:t>
      </w:r>
    </w:p>
    <w:p>
      <w:pPr>
        <w:pStyle w:val="ListNumber"/>
        <w:spacing w:after="40"/>
      </w:pPr>
      <w:r>
        <w:t>Only claim novelty after a focused literature review and a precise explanation of what is technically different.</w:t>
      </w:r>
    </w:p>
    <w:p>
      <w:pPr>
        <w:pStyle w:val="Heading1"/>
      </w:pPr>
      <w:r>
        <w:t>8. Existing Work and the Novelty Challenge</w:t>
      </w:r>
    </w:p>
    <w:p>
      <w:r>
        <w:t>A literature check identified several directly relevant papers. This makes it important to avoid presenting ‘complementarity-aware fusion’ itself as a new idea.</w:t>
      </w:r>
    </w:p>
    <w:tbl>
      <w:tblPr>
        <w:tblStyle w:val="TableGrid"/>
        <w:tblW w:type="auto" w:w="0"/>
        <w:jc w:val="center"/>
        <w:tblLook w:firstColumn="1" w:firstRow="1" w:lastColumn="0" w:lastRow="0" w:noHBand="0" w:noVBand="1" w:val="04A0"/>
      </w:tblPr>
      <w:tblGrid>
        <w:gridCol w:w="3360"/>
        <w:gridCol w:w="3360"/>
        <w:gridCol w:w="3360"/>
      </w:tblGrid>
      <w:tr>
        <w:tc>
          <w:tcPr>
            <w:tcW w:type="dxa" w:w="2304"/>
            <w:vAlign w:val="center"/>
            <w:shd w:fill="17365D"/>
          </w:tcPr>
          <w:p>
            <w:pPr>
              <w:spacing w:after="20"/>
            </w:pPr>
            <w:r/>
            <w:r>
              <w:rPr>
                <w:rFonts w:ascii="Aptos" w:hAnsi="Aptos"/>
                <w:b/>
                <w:color w:val="FFFFFF"/>
                <w:sz w:val="18"/>
              </w:rPr>
              <w:t>Existing work</w:t>
            </w:r>
          </w:p>
        </w:tc>
        <w:tc>
          <w:tcPr>
            <w:tcW w:type="dxa" w:w="4320"/>
            <w:vAlign w:val="center"/>
            <w:shd w:fill="17365D"/>
          </w:tcPr>
          <w:p>
            <w:pPr>
              <w:spacing w:after="20"/>
            </w:pPr>
            <w:r/>
            <w:r>
              <w:rPr>
                <w:rFonts w:ascii="Aptos" w:hAnsi="Aptos"/>
                <w:b/>
                <w:color w:val="FFFFFF"/>
                <w:sz w:val="18"/>
              </w:rPr>
              <w:t>Core idea reported in the paper</w:t>
            </w:r>
          </w:p>
        </w:tc>
        <w:tc>
          <w:tcPr>
            <w:tcW w:type="dxa" w:w="3168"/>
            <w:vAlign w:val="center"/>
            <w:shd w:fill="17365D"/>
          </w:tcPr>
          <w:p>
            <w:pPr>
              <w:spacing w:after="20"/>
            </w:pPr>
            <w:r/>
            <w:r>
              <w:rPr>
                <w:rFonts w:ascii="Aptos" w:hAnsi="Aptos"/>
                <w:b/>
                <w:color w:val="FFFFFF"/>
                <w:sz w:val="18"/>
              </w:rPr>
              <w:t>Implication for our research</w:t>
            </w:r>
          </w:p>
        </w:tc>
      </w:tr>
      <w:tr>
        <w:tc>
          <w:tcPr>
            <w:tcW w:type="dxa" w:w="2304"/>
            <w:vAlign w:val="center"/>
          </w:tcPr>
          <w:p>
            <w:pPr>
              <w:spacing w:after="20"/>
            </w:pPr>
            <w:r/>
            <w:r>
              <w:rPr>
                <w:rFonts w:ascii="Aptos" w:hAnsi="Aptos"/>
                <w:b w:val="0"/>
                <w:sz w:val="17"/>
              </w:rPr>
              <w:t>CMX — Zhang et al. (2022)</w:t>
            </w:r>
          </w:p>
        </w:tc>
        <w:tc>
          <w:tcPr>
            <w:tcW w:type="dxa" w:w="4320"/>
            <w:vAlign w:val="center"/>
          </w:tcPr>
          <w:p>
            <w:pPr>
              <w:spacing w:after="20"/>
            </w:pPr>
            <w:r/>
            <w:r>
              <w:rPr>
                <w:rFonts w:ascii="Aptos" w:hAnsi="Aptos"/>
                <w:b w:val="0"/>
                <w:sz w:val="17"/>
              </w:rPr>
              <w:t>Uses cross-modal feature rectification to calibrate paired modalities, followed by an FFM that exchanges long-range context before fusion.</w:t>
            </w:r>
          </w:p>
        </w:tc>
        <w:tc>
          <w:tcPr>
            <w:tcW w:type="dxa" w:w="3168"/>
            <w:vAlign w:val="center"/>
          </w:tcPr>
          <w:p>
            <w:pPr>
              <w:spacing w:after="20"/>
            </w:pPr>
            <w:r/>
            <w:r>
              <w:rPr>
                <w:rFonts w:ascii="Aptos" w:hAnsi="Aptos"/>
                <w:b w:val="0"/>
                <w:sz w:val="17"/>
              </w:rPr>
              <w:t>Our work builds on a strong transformer-based RGB-X baseline; any new module must be clearly differentiated from CMX’s rectification and fusion.</w:t>
            </w:r>
          </w:p>
        </w:tc>
      </w:tr>
      <w:tr>
        <w:tc>
          <w:tcPr>
            <w:tcW w:type="dxa" w:w="2304"/>
            <w:vAlign w:val="center"/>
            <w:shd w:fill="F2F6FA"/>
          </w:tcPr>
          <w:p>
            <w:pPr>
              <w:spacing w:after="20"/>
            </w:pPr>
            <w:r/>
            <w:r>
              <w:rPr>
                <w:rFonts w:ascii="Aptos" w:hAnsi="Aptos"/>
                <w:b w:val="0"/>
                <w:sz w:val="17"/>
              </w:rPr>
              <w:t>CCFFNet — Wu, Chu &amp; Liu (2022)</w:t>
            </w:r>
          </w:p>
        </w:tc>
        <w:tc>
          <w:tcPr>
            <w:tcW w:type="dxa" w:w="4320"/>
            <w:vAlign w:val="center"/>
            <w:shd w:fill="F2F6FA"/>
          </w:tcPr>
          <w:p>
            <w:pPr>
              <w:spacing w:after="20"/>
            </w:pPr>
            <w:r/>
            <w:r>
              <w:rPr>
                <w:rFonts w:ascii="Aptos" w:hAnsi="Aptos"/>
                <w:b w:val="0"/>
                <w:sz w:val="17"/>
              </w:rPr>
              <w:t>Introduces a Complementarity-Aware Encoder with gates for spatial selection and channel-wise weighting, plus Three-Path Fusion and Supervision.</w:t>
            </w:r>
          </w:p>
        </w:tc>
        <w:tc>
          <w:tcPr>
            <w:tcW w:type="dxa" w:w="3168"/>
            <w:vAlign w:val="center"/>
            <w:shd w:fill="F2F6FA"/>
          </w:tcPr>
          <w:p>
            <w:pPr>
              <w:spacing w:after="20"/>
            </w:pPr>
            <w:r/>
            <w:r>
              <w:rPr>
                <w:rFonts w:ascii="Aptos" w:hAnsi="Aptos"/>
                <w:b w:val="0"/>
                <w:sz w:val="17"/>
              </w:rPr>
              <w:t>This is a direct overlap with the broad complementarity-aware RGB-T fusion idea. The name or use of gates alone is not sufficient novelty.</w:t>
            </w:r>
          </w:p>
        </w:tc>
      </w:tr>
      <w:tr>
        <w:tc>
          <w:tcPr>
            <w:tcW w:type="dxa" w:w="2304"/>
            <w:vAlign w:val="center"/>
          </w:tcPr>
          <w:p>
            <w:pPr>
              <w:spacing w:after="20"/>
            </w:pPr>
            <w:r/>
            <w:r>
              <w:rPr>
                <w:rFonts w:ascii="Aptos" w:hAnsi="Aptos"/>
                <w:b w:val="0"/>
                <w:sz w:val="17"/>
              </w:rPr>
              <w:t>Region-adaptive and context-complementary cross modulation (2024)</w:t>
            </w:r>
          </w:p>
        </w:tc>
        <w:tc>
          <w:tcPr>
            <w:tcW w:type="dxa" w:w="4320"/>
            <w:vAlign w:val="center"/>
          </w:tcPr>
          <w:p>
            <w:pPr>
              <w:spacing w:after="20"/>
            </w:pPr>
            <w:r/>
            <w:r>
              <w:rPr>
                <w:rFonts w:ascii="Aptos" w:hAnsi="Aptos"/>
                <w:b w:val="0"/>
                <w:sz w:val="17"/>
              </w:rPr>
              <w:t>Studies region-adaptive and context-complementary fusion for RGB-T semantic segmentation.</w:t>
            </w:r>
          </w:p>
        </w:tc>
        <w:tc>
          <w:tcPr>
            <w:tcW w:type="dxa" w:w="3168"/>
            <w:vAlign w:val="center"/>
          </w:tcPr>
          <w:p>
            <w:pPr>
              <w:spacing w:after="20"/>
            </w:pPr>
            <w:r/>
            <w:r>
              <w:rPr>
                <w:rFonts w:ascii="Aptos" w:hAnsi="Aptos"/>
                <w:b w:val="0"/>
                <w:sz w:val="17"/>
              </w:rPr>
              <w:t>Region-adaptive/context-complementary fusion is also an established direction; compare module mechanics and evaluation carefully.</w:t>
            </w:r>
          </w:p>
        </w:tc>
      </w:tr>
      <w:tr>
        <w:tc>
          <w:tcPr>
            <w:tcW w:type="dxa" w:w="2304"/>
            <w:vAlign w:val="center"/>
            <w:shd w:fill="F2F6FA"/>
          </w:tcPr>
          <w:p>
            <w:pPr>
              <w:spacing w:after="20"/>
            </w:pPr>
            <w:r/>
            <w:r>
              <w:rPr>
                <w:rFonts w:ascii="Aptos" w:hAnsi="Aptos"/>
                <w:b w:val="0"/>
                <w:sz w:val="17"/>
              </w:rPr>
              <w:t>CAFNet (2025)</w:t>
            </w:r>
          </w:p>
        </w:tc>
        <w:tc>
          <w:tcPr>
            <w:tcW w:type="dxa" w:w="4320"/>
            <w:vAlign w:val="center"/>
            <w:shd w:fill="F2F6FA"/>
          </w:tcPr>
          <w:p>
            <w:pPr>
              <w:spacing w:after="20"/>
            </w:pPr>
            <w:r/>
            <w:r>
              <w:rPr>
                <w:rFonts w:ascii="Aptos" w:hAnsi="Aptos"/>
                <w:b w:val="0"/>
                <w:sz w:val="17"/>
              </w:rPr>
              <w:t>Combines channel-spatial attention with an adaptive weighted fusion module for RGB-T segmentation.</w:t>
            </w:r>
          </w:p>
        </w:tc>
        <w:tc>
          <w:tcPr>
            <w:tcW w:type="dxa" w:w="3168"/>
            <w:vAlign w:val="center"/>
            <w:shd w:fill="F2F6FA"/>
          </w:tcPr>
          <w:p>
            <w:pPr>
              <w:spacing w:after="20"/>
            </w:pPr>
            <w:r/>
            <w:r>
              <w:rPr>
                <w:rFonts w:ascii="Aptos" w:hAnsi="Aptos"/>
                <w:b w:val="0"/>
                <w:sz w:val="17"/>
              </w:rPr>
              <w:t>Adaptive modality weighting and attention are already explored; a simple learned weighting mechanism alone may not be distinctive.</w:t>
            </w:r>
          </w:p>
        </w:tc>
      </w:tr>
      <w:tr>
        <w:tc>
          <w:tcPr>
            <w:tcW w:type="dxa" w:w="2304"/>
            <w:vAlign w:val="center"/>
          </w:tcPr>
          <w:p>
            <w:pPr>
              <w:spacing w:after="20"/>
            </w:pPr>
            <w:r/>
            <w:r>
              <w:rPr>
                <w:rFonts w:ascii="Aptos" w:hAnsi="Aptos"/>
                <w:b w:val="0"/>
                <w:sz w:val="17"/>
              </w:rPr>
              <w:t>Recent 2026 RGB-T work</w:t>
            </w:r>
          </w:p>
        </w:tc>
        <w:tc>
          <w:tcPr>
            <w:tcW w:type="dxa" w:w="4320"/>
            <w:vAlign w:val="center"/>
          </w:tcPr>
          <w:p>
            <w:pPr>
              <w:spacing w:after="20"/>
            </w:pPr>
            <w:r/>
            <w:r>
              <w:rPr>
                <w:rFonts w:ascii="Aptos" w:hAnsi="Aptos"/>
                <w:b w:val="0"/>
                <w:sz w:val="17"/>
              </w:rPr>
              <w:t>Search results include dynamic rectification/bidirectional fusion and multi-scale rectified mixture-of-experts fusion.</w:t>
            </w:r>
          </w:p>
        </w:tc>
        <w:tc>
          <w:tcPr>
            <w:tcW w:type="dxa" w:w="3168"/>
            <w:vAlign w:val="center"/>
          </w:tcPr>
          <w:p>
            <w:pPr>
              <w:spacing w:after="20"/>
            </w:pPr>
            <w:r/>
            <w:r>
              <w:rPr>
                <w:rFonts w:ascii="Aptos" w:hAnsi="Aptos"/>
                <w:b w:val="0"/>
                <w:sz w:val="17"/>
              </w:rPr>
              <w:t>The related-work review must include recent papers, not only CMX and older methods. Verify publication details and full methods before final claims.</w:t>
            </w:r>
          </w:p>
        </w:tc>
      </w:tr>
    </w:tbl>
    <w:p>
      <w:pPr>
        <w:spacing w:after="20"/>
      </w:pPr>
    </w:p>
    <w:p>
      <w:pPr>
        <w:pStyle w:val="Heading1"/>
      </w:pPr>
      <w:r>
        <w:t>9. How Our Proposed Work Could Be Different</w:t>
      </w:r>
    </w:p>
    <w:p>
      <w:r>
        <w:t>At this stage, the following are candidate differentiators to investigate—not claims that have already been proven. A defensible contribution should identify a technical distinction from CCFFNet, CMX, region-adaptive fusion, and adaptive-weighting methods.</w:t>
      </w:r>
    </w:p>
    <w:p>
      <w:pPr>
        <w:pStyle w:val="ListBullet"/>
        <w:spacing w:after="40"/>
      </w:pPr>
      <w:r>
        <w:t>CMX-compatible design: test a compact module at specific CMX fusion stages while retaining the backbone and baseline pipeline, and measure whether the gain justifies its extra cost.</w:t>
      </w:r>
    </w:p>
    <w:p>
      <w:pPr>
        <w:pStyle w:val="ListBullet"/>
        <w:spacing w:after="40"/>
      </w:pPr>
      <w:r>
        <w:t>Explicit complementarity objective: define and measure a signal that separates shared information from modality-specific useful information, rather than using a generic attention gate and calling it complementarity.</w:t>
      </w:r>
    </w:p>
    <w:p>
      <w:pPr>
        <w:pStyle w:val="ListBullet"/>
        <w:spacing w:after="40"/>
      </w:pPr>
      <w:r>
        <w:t>Reliability-aware behavior: test whether the fusion weights respond sensibly to cases where RGB is degraded (for example, low illumination) or thermal evidence is less discriminative. This requires suitable data or carefully designed validation subsets.</w:t>
      </w:r>
    </w:p>
    <w:p>
      <w:pPr>
        <w:pStyle w:val="ListBullet"/>
        <w:spacing w:after="40"/>
      </w:pPr>
      <w:r>
        <w:t>Ablation-backed explanation: quantify whether the complementary term, reliability estimate, and gating each contribute independently.</w:t>
      </w:r>
    </w:p>
    <w:p>
      <w:pPr>
        <w:pStyle w:val="ListBullet"/>
        <w:spacing w:after="40"/>
      </w:pPr>
      <w:r>
        <w:t>Accuracy-efficiency trade-off: report parameter count, computation, latency, and mIoU together, rather than only claiming an accuracy gain.</w:t>
      </w:r>
    </w:p>
    <w:p>
      <w:pPr>
        <w:pStyle w:val="ListBullet"/>
        <w:spacing w:after="40"/>
      </w:pPr>
      <w:r>
        <w:t>Protocol transparency: use the same dataset split and evaluation pipeline for all local experiments, and compare with published numbers only when dataset and protocol differences are clearly stated.</w:t>
      </w:r>
    </w:p>
    <w:p>
      <w:pPr>
        <w:spacing w:before="80"/>
      </w:pPr>
      <w:r>
        <w:rPr>
          <w:b/>
        </w:rPr>
        <w:t xml:space="preserve">Novelty status: </w:t>
      </w:r>
      <w:r>
        <w:t>Unconfirmed. The idea is promising as a research direction, but it overlaps with prior complementarity-aware and adaptive RGB-T fusion methods. A final novelty statement requires a deeper review of full papers, equations, modules, datasets, and the most recent literature.</w:t>
      </w:r>
    </w:p>
    <w:p>
      <w:pPr>
        <w:pStyle w:val="Heading1"/>
      </w:pPr>
      <w:r>
        <w:t>10. Current Conclusion</w:t>
      </w:r>
    </w:p>
    <w:p>
      <w:r>
        <w:t>The project has completed the original CMX baseline and an FRM-removal ablation. E0 achieved 62.726% validation mIoU; E1 achieved 60.944%, a reduction of 1.782 percentage points. The controlled comparison provides an initial indication that FRM is useful in this setup. E2 will next test basic additive fusion. After that, a more specific complementarity-aware design may be developed, but its novelty and effectiveness must be established through literature comparison and controlled experiments.</w:t>
      </w:r>
    </w:p>
    <w:p>
      <w:pPr>
        <w:pStyle w:val="Heading1"/>
      </w:pPr>
      <w:r>
        <w:t>Suggested verbal update for the supervisor</w:t>
      </w:r>
    </w:p>
    <w:p>
      <w:pPr>
        <w:spacing w:after="160"/>
        <w:ind w:left="360" w:right="360"/>
      </w:pPr>
      <w:r>
        <w:rPr>
          <w:i/>
        </w:rPr>
        <w:t>Sir, we have completed the original CMX baseline and our first ablation on the TDD RGB-T semantic segmentation setup. E0 achieved 62.726% validation mIoU. In E1, we removed FRM while retaining FFM, and the validation mIoU became 60.944%, a decrease of 1.782 percentage points. We checked that the two evaluations used the same validation split and evaluation script, and both produced 392 prediction masks. Our next step is E2, which tests basic additive fusion under the same protocol. After E2, we plan to investigate a more specific fusion mechanism. Our literature check found that complementarity-aware RGB-T fusion has already been studied, especially in CCFFNet, so we will identify a precise technical gap and avoid claiming novelty until our module and experiments demonstrate a clear difference.</w:t>
      </w:r>
    </w:p>
    <w:p>
      <w:pPr>
        <w:pStyle w:val="Heading1"/>
      </w:pPr>
      <w:r>
        <w:t>References and links</w:t>
      </w:r>
    </w:p>
    <w:p>
      <w:pPr>
        <w:pStyle w:val="ListNumber"/>
        <w:spacing w:after="60"/>
      </w:pPr>
      <w:r>
        <w:t xml:space="preserve">[1] Zhang, J. et al. (2022). CMX: Cross-Modal Fusion for RGB-X Semantic Segmentation with Transformers. arXiv:2203.04838. </w:t>
      </w:r>
      <w:r>
        <w:t>https://arxiv.org/abs/2203.04838</w:t>
      </w:r>
    </w:p>
    <w:p>
      <w:pPr>
        <w:pStyle w:val="ListNumber"/>
        <w:spacing w:after="60"/>
      </w:pPr>
      <w:r>
        <w:t xml:space="preserve">[2] Wu, W., Chu, T., &amp; Liu, Q. (2022). Complementarity-aware cross-modal feature fusion network for RGB-T semantic segmentation. Pattern Recognition, 131, 108881. DOI: 10.1016/j.patcog.2022.108881. </w:t>
      </w:r>
      <w:r>
        <w:t>https://www.sciencedirect.com/science/article/pii/S0031320322003624</w:t>
      </w:r>
    </w:p>
    <w:p>
      <w:pPr>
        <w:pStyle w:val="ListNumber"/>
        <w:spacing w:after="60"/>
      </w:pPr>
      <w:r>
        <w:t xml:space="preserve">[3] Peng, F. et al. (2024 issue; online 2023). Region-adaptive and context-complementary cross modulation for RGB-T semantic segmentation. Pattern Recognition, 147, 110092. DOI: 10.1016/j.patcog.2023.110092. </w:t>
      </w:r>
      <w:r>
        <w:t>https://www.sciencedirect.com/science/article/pii/S0031320323007896</w:t>
      </w:r>
    </w:p>
    <w:p>
      <w:pPr>
        <w:pStyle w:val="ListNumber"/>
        <w:spacing w:after="60"/>
      </w:pPr>
      <w:r>
        <w:t xml:space="preserve">[4] CAFNet (2025). Cross-Modal Adaptive Fusion Network With Attention and Gated Weighting for RGB-T Semantic Segmentation. IEEE Access. DOI: 10.1109/ACCESS.2025.3595811. </w:t>
      </w:r>
      <w:r>
        <w:t>https://doi.org/10.1109/ACCESS.2025.3595811</w:t>
      </w:r>
    </w:p>
    <w:p>
      <w:pPr>
        <w:pStyle w:val="ListNumber"/>
        <w:spacing w:after="60"/>
      </w:pPr>
      <w:r>
        <w:t xml:space="preserve">[5] DCBF-Net (2026). Dynamic cross-modal rectification and bidirectional fusion for RGB-thermal semantic segmentation. Infrared Physics &amp; Technology, 158, 106793. </w:t>
      </w:r>
      <w:r>
        <w:t>https://doi.org/10.1016/j.infrared.2026.106793</w:t>
      </w:r>
    </w:p>
    <w:p>
      <w:pPr>
        <w:pStyle w:val="ListNumber"/>
        <w:spacing w:after="60"/>
      </w:pPr>
      <w:r>
        <w:t xml:space="preserve">[6] Multi-scale rectified mixture-of-experts fusion for RGB–Thermal semantic segmentation (2026). Image and Vision Computing, 174, 106109. </w:t>
      </w:r>
      <w:r>
        <w:t>https://www.sciencedirect.com/science/article/pii/S0262885626002167</w:t>
      </w:r>
    </w:p>
    <w:p>
      <w:r>
        <w:t>Literature-review note: this is an initial, targeted review based on available publisher/abstract pages, not an exhaustive systematic review. Before submission or publication, inspect the full papers and confirm all bibliographic details, architectures, and experimental protocols.</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Research progress through E1 • 13 October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t>CMX RGB-T SEMANTIC SEGMENTATION | RESEARCH PROGRESS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2F5597"/>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