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Progress Report: SCR-CMX</w:t>
      </w:r>
    </w:p>
    <w:p>
      <w:r>
        <w:t>RGB–Thermal Semantic Segmentation Using Semantic-Counterfactual Reliability-Calibrated CMX</w:t>
      </w:r>
    </w:p>
    <w:p>
      <w:pPr>
        <w:pStyle w:val="Heading1"/>
      </w:pPr>
      <w:r>
        <w:t>1. Objective</w:t>
      </w:r>
    </w:p>
    <w:p>
      <w:r>
        <w:t>This project aims to improve RGB–thermal semantic segmentation by extending the CMX (Cross-Modal Fusion Transformer) architecture with a Semantic-Counterfactual Reliability-Calibration mechanism, called SCR-CMX. The objective is to preserve clean-data segmentation performance while improving robustness when RGB or thermal inputs are degraded.</w:t>
      </w:r>
    </w:p>
    <w:p>
      <w:pPr>
        <w:pStyle w:val="Heading1"/>
      </w:pPr>
      <w:r>
        <w:t>2. Current Baseline</w:t>
      </w:r>
    </w:p>
    <w:p>
      <w:r>
        <w:t>The baseline model is CMX with a SegFormer MiT-B2 backbone and MLP segmentation decoder. The model uses RGB and thermal images from the TDD dataset.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Experiment</w:t>
            </w:r>
          </w:p>
        </w:tc>
        <w:tc>
          <w:tcPr>
            <w:tcW w:type="dxa" w:w="2160"/>
          </w:tcPr>
          <w:p>
            <w:r>
              <w:t>Train mIoU</w:t>
            </w:r>
          </w:p>
        </w:tc>
        <w:tc>
          <w:tcPr>
            <w:tcW w:type="dxa" w:w="2160"/>
          </w:tcPr>
          <w:p>
            <w:r>
              <w:t>Validation mIoU</w:t>
            </w:r>
          </w:p>
        </w:tc>
        <w:tc>
          <w:tcPr>
            <w:tcW w:type="dxa" w:w="2160"/>
          </w:tcPr>
          <w:p>
            <w:r>
              <w:t>Test mIoU</w:t>
            </w:r>
          </w:p>
        </w:tc>
      </w:tr>
      <w:tr>
        <w:tc>
          <w:tcPr>
            <w:tcW w:type="dxa" w:w="2160"/>
          </w:tcPr>
          <w:p>
            <w:r>
              <w:t>E0 — Original CMX</w:t>
            </w:r>
          </w:p>
        </w:tc>
        <w:tc>
          <w:tcPr>
            <w:tcW w:type="dxa" w:w="2160"/>
          </w:tcPr>
          <w:p>
            <w:r>
              <w:t>92.720%</w:t>
            </w:r>
          </w:p>
        </w:tc>
        <w:tc>
          <w:tcPr>
            <w:tcW w:type="dxa" w:w="2160"/>
          </w:tcPr>
          <w:p>
            <w:r>
              <w:t>62.726%</w:t>
            </w:r>
          </w:p>
        </w:tc>
        <w:tc>
          <w:tcPr>
            <w:tcW w:type="dxa" w:w="2160"/>
          </w:tcPr>
          <w:p>
            <w:r>
              <w:t>58.923%</w:t>
            </w:r>
          </w:p>
        </w:tc>
      </w:tr>
      <w:tr>
        <w:tc>
          <w:tcPr>
            <w:tcW w:type="dxa" w:w="2160"/>
          </w:tcPr>
          <w:p>
            <w:r>
              <w:t>E1 — FRM removed</w:t>
            </w:r>
          </w:p>
        </w:tc>
        <w:tc>
          <w:tcPr>
            <w:tcW w:type="dxa" w:w="2160"/>
          </w:tcPr>
          <w:p>
            <w:r>
              <w:t>93.043%</w:t>
            </w:r>
          </w:p>
        </w:tc>
        <w:tc>
          <w:tcPr>
            <w:tcW w:type="dxa" w:w="2160"/>
          </w:tcPr>
          <w:p>
            <w:r>
              <w:t>60.944%</w:t>
            </w:r>
          </w:p>
        </w:tc>
        <w:tc>
          <w:tcPr>
            <w:tcW w:type="dxa" w:w="2160"/>
          </w:tcPr>
          <w:p>
            <w:r>
              <w:t>56.786%</w:t>
            </w:r>
          </w:p>
        </w:tc>
      </w:tr>
      <w:tr>
        <w:tc>
          <w:tcPr>
            <w:tcW w:type="dxa" w:w="2160"/>
          </w:tcPr>
          <w:p>
            <w:r>
              <w:t>E2 — Weighted fusion</w:t>
            </w:r>
          </w:p>
        </w:tc>
        <w:tc>
          <w:tcPr>
            <w:tcW w:type="dxa" w:w="2160"/>
          </w:tcPr>
          <w:p>
            <w:r>
              <w:t>92.646%</w:t>
            </w:r>
          </w:p>
        </w:tc>
        <w:tc>
          <w:tcPr>
            <w:tcW w:type="dxa" w:w="2160"/>
          </w:tcPr>
          <w:p>
            <w:r>
              <w:t>62.325%</w:t>
            </w:r>
          </w:p>
        </w:tc>
        <w:tc>
          <w:tcPr>
            <w:tcW w:type="dxa" w:w="2160"/>
          </w:tcPr>
          <w:p>
            <w:r>
              <w:t>57.830%</w:t>
            </w:r>
          </w:p>
        </w:tc>
      </w:tr>
      <w:tr>
        <w:tc>
          <w:tcPr>
            <w:tcW w:type="dxa" w:w="2160"/>
          </w:tcPr>
          <w:p>
            <w:r>
              <w:t>E3 — Reliability-aware fusion</w:t>
            </w:r>
          </w:p>
        </w:tc>
        <w:tc>
          <w:tcPr>
            <w:tcW w:type="dxa" w:w="2160"/>
          </w:tcPr>
          <w:p>
            <w:r>
              <w:t>94.915%</w:t>
            </w:r>
          </w:p>
        </w:tc>
        <w:tc>
          <w:tcPr>
            <w:tcW w:type="dxa" w:w="2160"/>
          </w:tcPr>
          <w:p>
            <w:r>
              <w:t>61.961%</w:t>
            </w:r>
          </w:p>
        </w:tc>
        <w:tc>
          <w:tcPr>
            <w:tcW w:type="dxa" w:w="2160"/>
          </w:tcPr>
          <w:p>
            <w:r>
              <w:t>57.894%</w:t>
            </w:r>
          </w:p>
        </w:tc>
      </w:tr>
    </w:tbl>
    <w:p>
      <w:r>
        <w:t>E0 achieved the best validation and test mIoU. E1 confirms that the Feature Rectification Module contributes useful cross-modal information. E2 and E3 did not improve over the baseline. E3 shows higher training mIoU but lower validation and test mIoU, indicating possible overfitting or poor generalization of the reliability mechanism.</w:t>
      </w:r>
    </w:p>
    <w:p>
      <w:pPr>
        <w:pStyle w:val="Heading1"/>
      </w:pPr>
      <w:r>
        <w:t>3. Research Gap</w:t>
      </w:r>
    </w:p>
    <w:p>
      <w:r>
        <w:t>Existing RGB–thermal segmentation methods already use cross-modal feature interaction, adaptive fusion, modality dropout, confidence-based fusion, and evidential fusion. Therefore, simply adding a learnable RGB–thermal weight or a generic reliability map is not a sufficiently novel contribution.</w:t>
      </w:r>
    </w:p>
    <w:p>
      <w:r>
        <w:t>The identified gap is the absence of an explicitly supervised, spatially localized, and semantic-class-conditioned reliability mechanism that is calibrated using controlled clean-versus-corrupted counterfactual evidence and integrated directly into CMX’s Feature Rectification Module and Feature Fusion Module.</w:t>
      </w:r>
    </w:p>
    <w:p>
      <w:pPr>
        <w:pStyle w:val="Heading1"/>
      </w:pPr>
      <w:r>
        <w:t>4. Proposed Method: SCR-CMX</w:t>
      </w:r>
    </w:p>
    <w:p>
      <w:r>
        <w:t>SCR-CMX extends CMX by learning where, for which semantic class, and under which degradation each modality should be trusted. The method consists of four main components:</w:t>
      </w:r>
    </w:p>
    <w:p>
      <w:pPr>
        <w:pStyle w:val="ListBullet"/>
      </w:pPr>
      <w:r>
        <w:t>Counterfactual Reliability Estimator: Generates reliability targets by comparing RGB-only and thermal-only predictions under controlled corruption with clean ground truth.</w:t>
      </w:r>
    </w:p>
    <w:p>
      <w:pPr>
        <w:pStyle w:val="ListBullet"/>
      </w:pPr>
      <w:r>
        <w:t>Semantic-Conditioned Reliability Head: Predicts spatial RGB and thermal reliability maps conditioned on image features and semantic-class information.</w:t>
      </w:r>
    </w:p>
    <w:p>
      <w:pPr>
        <w:pStyle w:val="ListBullet"/>
      </w:pPr>
      <w:r>
        <w:t>Reliability-Calibrated FRM: Controls how strongly one modality rectifies the other based on predicted reliability.</w:t>
      </w:r>
    </w:p>
    <w:p>
      <w:pPr>
        <w:pStyle w:val="ListBullet"/>
      </w:pPr>
      <w:r>
        <w:t>Reliability-Calibrated FFM: Uses calibrated reliability estimates to control the final RGB–thermal feature fusion.</w:t>
      </w:r>
    </w:p>
    <w:p>
      <w:pPr>
        <w:pStyle w:val="Heading1"/>
      </w:pPr>
      <w:r>
        <w:t>5. Counterfactual Corruption Protocol</w:t>
      </w:r>
    </w:p>
    <w:p>
      <w:r>
        <w:t>Training and evaluation will use controlled corruption conditions:</w:t>
      </w:r>
    </w:p>
    <w:p>
      <w:pPr>
        <w:pStyle w:val="ListBullet"/>
      </w:pPr>
      <w:r>
        <w:t>RGB corruption: low illumination, motion blur, Gaussian noise, and partial blackout.</w:t>
      </w:r>
    </w:p>
    <w:p>
      <w:pPr>
        <w:pStyle w:val="ListBullet"/>
      </w:pPr>
      <w:r>
        <w:t>Thermal corruption: fixed-pattern noise, Gaussian noise, blur, contrast loss, gain drift, and partial blackout.</w:t>
      </w:r>
    </w:p>
    <w:p>
      <w:pPr>
        <w:pStyle w:val="ListBullet"/>
      </w:pPr>
      <w:r>
        <w:t>Joint corruption: independent or correlated degradation of both modalities.</w:t>
      </w:r>
    </w:p>
    <w:p>
      <w:pPr>
        <w:pStyle w:val="ListBullet"/>
      </w:pPr>
      <w:r>
        <w:t>Modality dropout: complete RGB or thermal blackout.</w:t>
      </w:r>
    </w:p>
    <w:p>
      <w:r>
        <w:t>For each corrupted sample, auxiliary RGB-only and thermal-only segmentation heads produce predictions. Local agreement with the clean ground-truth mask provides counterfactual reliability targets for each modality.</w:t>
      </w:r>
    </w:p>
    <w:p>
      <w:pPr>
        <w:pStyle w:val="Heading1"/>
      </w:pPr>
      <w:r>
        <w:t>6. Training Strategy</w:t>
      </w:r>
    </w:p>
    <w:p>
      <w:r>
        <w:t>SCR-CMX will be trained using a combination of clean and corrupted samples. The total loss will include:</w:t>
      </w:r>
    </w:p>
    <w:p>
      <w:pPr>
        <w:pStyle w:val="ListBullet"/>
      </w:pPr>
      <w:r>
        <w:t>Standard semantic segmentation loss.</w:t>
      </w:r>
    </w:p>
    <w:p>
      <w:pPr>
        <w:pStyle w:val="ListBullet"/>
      </w:pPr>
      <w:r>
        <w:t>Counterfactual reliability supervision loss.</w:t>
      </w:r>
    </w:p>
    <w:p>
      <w:pPr>
        <w:pStyle w:val="ListBullet"/>
      </w:pPr>
      <w:r>
        <w:t>Calibration loss to reduce overconfident modality trust.</w:t>
      </w:r>
    </w:p>
    <w:p>
      <w:pPr>
        <w:pStyle w:val="ListBullet"/>
      </w:pPr>
      <w:r>
        <w:t>Consistency loss to stabilize predictions under corruption.</w:t>
      </w:r>
    </w:p>
    <w:p>
      <w:pPr>
        <w:pStyle w:val="ListBullet"/>
      </w:pPr>
      <w:r>
        <w:t>Modality-balance loss to prevent collapse to RGB-only or thermal-only behavior.</w:t>
      </w:r>
    </w:p>
    <w:p>
      <w:pPr>
        <w:pStyle w:val="Heading1"/>
      </w:pPr>
      <w:r>
        <w:t>7. Evaluation Protocol</w:t>
      </w:r>
    </w:p>
    <w:p>
      <w:r>
        <w:t>The model will be evaluated on clean, corrupted, and modality-dropout conditions. Both seen and unseen corruption types will be tested to verify that the reliability mechanism generalizes rather than memorizing synthetic degradation patterns.</w:t>
      </w:r>
    </w:p>
    <w:tbl>
      <w:tblPr>
        <w:tblStyle w:val="TableGrid"/>
        <w:tblW w:type="auto" w:w="0"/>
        <w:tblLook w:firstColumn="1" w:firstRow="1" w:lastColumn="0" w:lastRow="0" w:noHBand="0" w:noVBand="1" w:val="04A0"/>
      </w:tblPr>
      <w:tblGrid>
        <w:gridCol w:w="2880"/>
        <w:gridCol w:w="2880"/>
        <w:gridCol w:w="2880"/>
      </w:tblGrid>
      <w:tr>
        <w:tc>
          <w:tcPr>
            <w:tcW w:type="dxa" w:w="2880"/>
          </w:tcPr>
          <w:p>
            <w:r>
              <w:t>Evaluation Condition</w:t>
            </w:r>
          </w:p>
        </w:tc>
        <w:tc>
          <w:tcPr>
            <w:tcW w:type="dxa" w:w="2880"/>
          </w:tcPr>
          <w:p>
            <w:r>
              <w:t>Purpose</w:t>
            </w:r>
          </w:p>
        </w:tc>
        <w:tc>
          <w:tcPr>
            <w:tcW w:type="dxa" w:w="2880"/>
          </w:tcPr>
          <w:p>
            <w:r>
              <w:t>Metrics</w:t>
            </w:r>
          </w:p>
        </w:tc>
      </w:tr>
      <w:tr>
        <w:tc>
          <w:tcPr>
            <w:tcW w:type="dxa" w:w="2880"/>
          </w:tcPr>
          <w:p>
            <w:r>
              <w:t>Clean TDD test set</w:t>
            </w:r>
          </w:p>
        </w:tc>
        <w:tc>
          <w:tcPr>
            <w:tcW w:type="dxa" w:w="2880"/>
          </w:tcPr>
          <w:p>
            <w:r>
              <w:t>Verify no loss in standard accuracy</w:t>
            </w:r>
          </w:p>
        </w:tc>
        <w:tc>
          <w:tcPr>
            <w:tcW w:type="dxa" w:w="2880"/>
          </w:tcPr>
          <w:p>
            <w:r>
              <w:t>mIoU, per-class IoU</w:t>
            </w:r>
          </w:p>
        </w:tc>
      </w:tr>
      <w:tr>
        <w:tc>
          <w:tcPr>
            <w:tcW w:type="dxa" w:w="2880"/>
          </w:tcPr>
          <w:p>
            <w:r>
              <w:t>RGB-only corruption</w:t>
            </w:r>
          </w:p>
        </w:tc>
        <w:tc>
          <w:tcPr>
            <w:tcW w:type="dxa" w:w="2880"/>
          </w:tcPr>
          <w:p>
            <w:r>
              <w:t>Test robustness to visible-sensor failure</w:t>
            </w:r>
          </w:p>
        </w:tc>
        <w:tc>
          <w:tcPr>
            <w:tcW w:type="dxa" w:w="2880"/>
          </w:tcPr>
          <w:p>
            <w:r>
              <w:t>mIoU, degradation percentage</w:t>
            </w:r>
          </w:p>
        </w:tc>
      </w:tr>
      <w:tr>
        <w:tc>
          <w:tcPr>
            <w:tcW w:type="dxa" w:w="2880"/>
          </w:tcPr>
          <w:p>
            <w:r>
              <w:t>Thermal-only corruption</w:t>
            </w:r>
          </w:p>
        </w:tc>
        <w:tc>
          <w:tcPr>
            <w:tcW w:type="dxa" w:w="2880"/>
          </w:tcPr>
          <w:p>
            <w:r>
              <w:t>Test robustness to thermal-sensor failure</w:t>
            </w:r>
          </w:p>
        </w:tc>
        <w:tc>
          <w:tcPr>
            <w:tcW w:type="dxa" w:w="2880"/>
          </w:tcPr>
          <w:p>
            <w:r>
              <w:t>mIoU, degradation percentage</w:t>
            </w:r>
          </w:p>
        </w:tc>
      </w:tr>
      <w:tr>
        <w:tc>
          <w:tcPr>
            <w:tcW w:type="dxa" w:w="2880"/>
          </w:tcPr>
          <w:p>
            <w:r>
              <w:t>Joint corruption</w:t>
            </w:r>
          </w:p>
        </w:tc>
        <w:tc>
          <w:tcPr>
            <w:tcW w:type="dxa" w:w="2880"/>
          </w:tcPr>
          <w:p>
            <w:r>
              <w:t>Test robustness under simultaneous degradation</w:t>
            </w:r>
          </w:p>
        </w:tc>
        <w:tc>
          <w:tcPr>
            <w:tcW w:type="dxa" w:w="2880"/>
          </w:tcPr>
          <w:p>
            <w:r>
              <w:t>mIoU, degradation percentage</w:t>
            </w:r>
          </w:p>
        </w:tc>
      </w:tr>
      <w:tr>
        <w:tc>
          <w:tcPr>
            <w:tcW w:type="dxa" w:w="2880"/>
          </w:tcPr>
          <w:p>
            <w:r>
              <w:t>RGB/thermal dropout</w:t>
            </w:r>
          </w:p>
        </w:tc>
        <w:tc>
          <w:tcPr>
            <w:tcW w:type="dxa" w:w="2880"/>
          </w:tcPr>
          <w:p>
            <w:r>
              <w:t>Test behavior when one sensor fails</w:t>
            </w:r>
          </w:p>
        </w:tc>
        <w:tc>
          <w:tcPr>
            <w:tcW w:type="dxa" w:w="2880"/>
          </w:tcPr>
          <w:p>
            <w:r>
              <w:t>mIoU, recovery rate</w:t>
            </w:r>
          </w:p>
        </w:tc>
      </w:tr>
      <w:tr>
        <w:tc>
          <w:tcPr>
            <w:tcW w:type="dxa" w:w="2880"/>
          </w:tcPr>
          <w:p>
            <w:r>
              <w:t>Unseen corruption</w:t>
            </w:r>
          </w:p>
        </w:tc>
        <w:tc>
          <w:tcPr>
            <w:tcW w:type="dxa" w:w="2880"/>
          </w:tcPr>
          <w:p>
            <w:r>
              <w:t>Test generalization of reliability calibration</w:t>
            </w:r>
          </w:p>
        </w:tc>
        <w:tc>
          <w:tcPr>
            <w:tcW w:type="dxa" w:w="2880"/>
          </w:tcPr>
          <w:p>
            <w:r>
              <w:t>mIoU, calibration error</w:t>
            </w:r>
          </w:p>
        </w:tc>
      </w:tr>
    </w:tbl>
    <w:p>
      <w:pPr>
        <w:pStyle w:val="Heading1"/>
      </w:pPr>
      <w:r>
        <w:t>8. Expected Results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Expected Target</w:t>
            </w:r>
          </w:p>
        </w:tc>
      </w:tr>
      <w:tr>
        <w:tc>
          <w:tcPr>
            <w:tcW w:type="dxa" w:w="4320"/>
          </w:tcPr>
          <w:p>
            <w:r>
              <w:t>Clean test mIoU</w:t>
            </w:r>
          </w:p>
        </w:tc>
        <w:tc>
          <w:tcPr>
            <w:tcW w:type="dxa" w:w="4320"/>
          </w:tcPr>
          <w:p>
            <w:r>
              <w:t>58.9–60.4%, matching or slightly improving CMX</w:t>
            </w:r>
          </w:p>
        </w:tc>
      </w:tr>
      <w:tr>
        <w:tc>
          <w:tcPr>
            <w:tcW w:type="dxa" w:w="4320"/>
          </w:tcPr>
          <w:p>
            <w:r>
              <w:t>Mild corruption</w:t>
            </w:r>
          </w:p>
        </w:tc>
        <w:tc>
          <w:tcPr>
            <w:tcW w:type="dxa" w:w="4320"/>
          </w:tcPr>
          <w:p>
            <w:r>
              <w:t>+2 to +5 mIoU over CMX</w:t>
            </w:r>
          </w:p>
        </w:tc>
      </w:tr>
      <w:tr>
        <w:tc>
          <w:tcPr>
            <w:tcW w:type="dxa" w:w="4320"/>
          </w:tcPr>
          <w:p>
            <w:r>
              <w:t>Severe corruption</w:t>
            </w:r>
          </w:p>
        </w:tc>
        <w:tc>
          <w:tcPr>
            <w:tcW w:type="dxa" w:w="4320"/>
          </w:tcPr>
          <w:p>
            <w:r>
              <w:t>+4 to +8 mIoU over CMX</w:t>
            </w:r>
          </w:p>
        </w:tc>
      </w:tr>
      <w:tr>
        <w:tc>
          <w:tcPr>
            <w:tcW w:type="dxa" w:w="4320"/>
          </w:tcPr>
          <w:p>
            <w:r>
              <w:t>Modality dropout</w:t>
            </w:r>
          </w:p>
        </w:tc>
        <w:tc>
          <w:tcPr>
            <w:tcW w:type="dxa" w:w="4320"/>
          </w:tcPr>
          <w:p>
            <w:r>
              <w:t>+5 to +10 mIoU over CMX</w:t>
            </w:r>
          </w:p>
        </w:tc>
      </w:tr>
      <w:tr>
        <w:tc>
          <w:tcPr>
            <w:tcW w:type="dxa" w:w="4320"/>
          </w:tcPr>
          <w:p>
            <w:r>
              <w:t>Calibration error</w:t>
            </w:r>
          </w:p>
        </w:tc>
        <w:tc>
          <w:tcPr>
            <w:tcW w:type="dxa" w:w="4320"/>
          </w:tcPr>
          <w:p>
            <w:r>
              <w:t>Lower than CMX and E3</w:t>
            </w:r>
          </w:p>
        </w:tc>
      </w:tr>
    </w:tbl>
    <w:p>
      <w:pPr>
        <w:pStyle w:val="Heading1"/>
      </w:pPr>
      <w:r>
        <w:t>9. Novelty Claim</w:t>
      </w:r>
    </w:p>
    <w:p>
      <w:r>
        <w:t>SCR-CMX is proposed as a semantic-conditioned, counterfactually supervised reliability-calibration framework for RGB–thermal semantic segmentation. Its novelty lies in integrating class-aware counterfactual reliability supervision into both CMX’s cross-modal rectification and fusion stages.</w:t>
      </w:r>
    </w:p>
    <w:p>
      <w:r>
        <w:t>The project will not claim that reliability-aware RGB–thermal fusion itself is new. Instead, it will claim novelty for the complete integrated mechanism: semantic-conditioned counterfactual reliability supervision, calibrated cross-modal rectification, and calibrated fusion within CMX.</w:t>
      </w:r>
    </w:p>
    <w:p>
      <w:pPr>
        <w:pStyle w:val="Heading1"/>
      </w:pPr>
      <w:r>
        <w:t>10. Next Steps</w:t>
      </w:r>
    </w:p>
    <w:p>
      <w:r>
        <w:t>1. Reproduce the E0 CMX baseline under fixed seeds and identical evaluation settings.</w:t>
      </w:r>
    </w:p>
    <w:p>
      <w:r>
        <w:t>2. Implement RGB, thermal, joint, and dropout corruption functions.</w:t>
      </w:r>
    </w:p>
    <w:p>
      <w:r>
        <w:t>3. Add RGB-only and thermal-only auxiliary segmentation heads.</w:t>
      </w:r>
    </w:p>
    <w:p>
      <w:r>
        <w:t>4. Generate counterfactual reliability targets.</w:t>
      </w:r>
    </w:p>
    <w:p>
      <w:r>
        <w:t>5. Implement the semantic-conditioned reliability head.</w:t>
      </w:r>
    </w:p>
    <w:p>
      <w:r>
        <w:t>6. Modify FRM and FFM with reliability-based gating.</w:t>
      </w:r>
    </w:p>
    <w:p>
      <w:r>
        <w:t>7. Train SCR-CMX using clean and corrupted batches.</w:t>
      </w:r>
    </w:p>
    <w:p>
      <w:r>
        <w:t>8. Compare SCR-CMX with E0, E2, and E3.</w:t>
      </w:r>
    </w:p>
    <w:p>
      <w:r>
        <w:t>9. Perform ablation studies and unseen-corruption evaluation.</w:t>
      </w:r>
    </w:p>
    <w:p>
      <w:r>
        <w:t>10. Report final results and establish the novelty claim only after experimental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