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b/>
          <w:color w:val="002147"/>
        </w:rPr>
        <w:t>Thesis Outline</w:t>
      </w:r>
    </w:p>
    <w:p>
      <w:pPr>
        <w:spacing w:after="240"/>
        <w:jc w:val="center"/>
      </w:pPr>
      <w:r>
        <w:rPr>
          <w:i/>
        </w:rPr>
        <w:t>Predicting Zoning Opposition</w:t>
      </w:r>
    </w:p>
    <w:p>
      <w:pPr>
        <w:pStyle w:val="Heading1"/>
      </w:pPr>
      <w:r>
        <w:t>1. Introduction (3-5 pages)</w:t>
      </w:r>
    </w:p>
    <w:p>
      <w:pPr>
        <w:pStyle w:val="ListParagraph"/>
      </w:pPr>
      <w:r>
        <w:t>☐ 1.1 Context: Rise of zoning opposition and NIMBYism; protest risks for urban planning.</w:t>
      </w:r>
    </w:p>
    <w:p>
      <w:pPr>
        <w:pStyle w:val="ListParagraph"/>
      </w:pPr>
      <w:r>
        <w:t>☐ 1.2 Case Study: Austin's housing market, rapid growth, and history of zoning protests.</w:t>
      </w:r>
    </w:p>
    <w:p>
      <w:pPr>
        <w:pStyle w:val="ListParagraph"/>
      </w:pPr>
      <w:r>
        <w:t>☐ 1.3 Research Objectives: Forecasting per-parcel protest risks via DDPM and LogReg.</w:t>
      </w:r>
    </w:p>
    <w:p>
      <w:pPr>
        <w:pStyle w:val="Heading1"/>
      </w:pPr>
      <w:r>
        <w:t>2. Literature Review (5-7 pages)</w:t>
      </w:r>
    </w:p>
    <w:p>
      <w:pPr>
        <w:pStyle w:val="ListParagraph"/>
      </w:pPr>
      <w:r>
        <w:t>☐ 2.1 Zoning Opposition Dynamics: NIMBYism, homevoter theory, neighborhood resistance.</w:t>
      </w:r>
    </w:p>
    <w:p>
      <w:pPr>
        <w:pStyle w:val="ListParagraph"/>
      </w:pPr>
      <w:r>
        <w:t>☐ 2.2 Quantitative Urban Planning: Predictive modeling applied to urban phenomena.</w:t>
      </w:r>
    </w:p>
    <w:p>
      <w:pPr>
        <w:pStyle w:val="ListParagraph"/>
      </w:pPr>
      <w:r>
        <w:t>☐ 2.3 Generative Causal Models: DDPM and Invariant Causal Prediction in tabular models.</w:t>
      </w:r>
    </w:p>
    <w:p>
      <w:pPr>
        <w:pStyle w:val="Heading1"/>
      </w:pPr>
      <w:r>
        <w:t>3. Mixed-Methods Data and Methodology (8-10 pages) [Completed]</w:t>
      </w:r>
    </w:p>
    <w:p>
      <w:pPr>
        <w:pStyle w:val="ListParagraph"/>
      </w:pPr>
      <w:r>
        <w:t>☑ 3.1 Quantitative Sources &amp; Panel: Building the balanced property-year panel (282k parcels).</w:t>
      </w:r>
    </w:p>
    <w:p>
      <w:pPr>
        <w:pStyle w:val="ListParagraph"/>
      </w:pPr>
      <w:r>
        <w:t>☑ 3.2 Causal Prediction &amp; Leakage: Preventing temporal leakage across distinct training years.</w:t>
      </w:r>
    </w:p>
    <w:p>
      <w:pPr>
        <w:pStyle w:val="ListParagraph"/>
      </w:pPr>
      <w:r>
        <w:t>☑ 3.3 Qualitative Stakeholder Interviews: Methodology and thematic coding of 10 interviews.</w:t>
      </w:r>
    </w:p>
    <w:p>
      <w:pPr>
        <w:pStyle w:val="Heading1"/>
      </w:pPr>
      <w:r>
        <w:t>4. Predictive Modeling Approach (Quantitative) (5-8 pages) [Completed]</w:t>
      </w:r>
    </w:p>
    <w:p>
      <w:pPr>
        <w:pStyle w:val="ListParagraph"/>
      </w:pPr>
      <w:r>
        <w:t>☑ 4.1 Baseline Models: Setting up Logistic Regression and XGBoost benchmarks.</w:t>
      </w:r>
    </w:p>
    <w:p>
      <w:pPr>
        <w:pStyle w:val="ListParagraph"/>
      </w:pPr>
      <w:r>
        <w:t>☑ 4.2 Conditional Diffusion (DDPM): Training the generative model for tabular protest risk.</w:t>
      </w:r>
    </w:p>
    <w:p>
      <w:pPr>
        <w:pStyle w:val="ListParagraph"/>
      </w:pPr>
      <w:r>
        <w:t>☑ 4.3 Evaluation Metrics: RMSE, MAE, CRPS, Scenario Std, out-of-sample validation.</w:t>
      </w:r>
    </w:p>
    <w:p>
      <w:pPr>
        <w:pStyle w:val="Heading1"/>
      </w:pPr>
      <w:r>
        <w:t>5. Quantitative Results and Counterfactuals (8-10 pages) [Completed]</w:t>
      </w:r>
    </w:p>
    <w:p>
      <w:pPr>
        <w:pStyle w:val="ListParagraph"/>
      </w:pPr>
      <w:r>
        <w:t>☑ 5.1 Baseline Performance: Feature importance and predictive accuracy of traditional models.</w:t>
      </w:r>
    </w:p>
    <w:p>
      <w:pPr>
        <w:pStyle w:val="ListParagraph"/>
      </w:pPr>
      <w:r>
        <w:t>☑ 5.2 Generative Models: Evaluating DDPM accuracy and its realistic counterfactuals.</w:t>
      </w:r>
    </w:p>
    <w:p>
      <w:pPr>
        <w:pStyle w:val="ListParagraph"/>
      </w:pPr>
      <w:r>
        <w:t>☑ 5.3 Comparative Analysis &amp; Policy: Using evaluated models to inform proactive rezoning.</w:t>
      </w:r>
    </w:p>
    <w:p>
      <w:pPr>
        <w:pStyle w:val="Heading1"/>
      </w:pPr>
      <w:r>
        <w:t>6. Qualitative Results: Stakeholder Perspectives (8-10 pages)</w:t>
      </w:r>
    </w:p>
    <w:p>
      <w:pPr>
        <w:pStyle w:val="ListParagraph"/>
      </w:pPr>
      <w:r>
        <w:t>☐ 6.1 Planners and Advocates: How institutional actors view algorithmic planning tools.</w:t>
      </w:r>
    </w:p>
    <w:p>
      <w:pPr>
        <w:pStyle w:val="ListParagraph"/>
      </w:pPr>
      <w:r>
        <w:t>☐ 6.2 Neighborhood Leaders: The tension between predictive efficiency and civic participation.</w:t>
      </w:r>
    </w:p>
    <w:p>
      <w:pPr>
        <w:pStyle w:val="ListParagraph"/>
      </w:pPr>
      <w:r>
        <w:t>☐ 6.3 Democratic Implications: Synthesizing the boundaries of acceptable use.</w:t>
      </w:r>
    </w:p>
    <w:p>
      <w:pPr>
        <w:pStyle w:val="Heading1"/>
      </w:pPr>
      <w:r>
        <w:t>7. Synthesis and Conclusion (4-6 pages)</w:t>
      </w:r>
    </w:p>
    <w:p>
      <w:pPr>
        <w:pStyle w:val="ListParagraph"/>
      </w:pPr>
      <w:r>
        <w:t>☐ 7.1 Integrating Findings: Reconciling models with stakeholder demands for transparency.</w:t>
      </w:r>
    </w:p>
    <w:p>
      <w:pPr>
        <w:pStyle w:val="ListParagraph"/>
      </w:pPr>
      <w:r>
        <w:t>☐ 7.2 Limitations: ID crosswalk mismatch rates, assumption constraints, model bounding.</w:t>
      </w:r>
    </w:p>
    <w:p>
      <w:pPr>
        <w:pStyle w:val="ListParagraph"/>
      </w:pPr>
      <w:r>
        <w:t>☐ 7.3 Future Work: Scaling to other jurisdictions; NLP-parsed qualitative petition data.</w:t>
      </w:r>
    </w:p>
    <w:p>
      <w:r>
        <w:rPr>
          <w:i/>
        </w:rPr>
        <w:br/>
        <w:t>Total Estimated Length: 41-56 pages (excluding Abstract, References, Appendices)</w:t>
      </w:r>
    </w:p>
    <w:sectPr w:rsidR="00FC693F" w:rsidRPr="0006063C" w:rsidSect="00034616"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40"/>
      <w:outlineLvl w:val="0"/>
    </w:pPr>
    <w:rPr>
      <w:rFonts w:asciiTheme="majorHAnsi" w:eastAsiaTheme="majorEastAsia" w:hAnsiTheme="majorHAnsi" w:cstheme="majorBidi" w:ascii="Calibri" w:hAnsi="Calibri"/>
      <w:b/>
      <w:bCs/>
      <w:color w:val="002147"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before="0" w:after="0" w:line="240" w:lineRule="auto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