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Brainstorming and Ideation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Following a clear definition of the problems, our next step is to ideate a broad range of creative solutions for the Gemini Pro Financial Decoder. This phase encourages boundless thinking, focusing on generating a large quantity and diversity of ideas rather than immediately evaluating their feasibility. It's about exploring every possible avenue to address the pain points identified by the scenarios.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Our functionalities at the core of the decoder will be a web interface easy for users to upload financial documents. The interface will be strong enough to support popular formats such as CSV and XLSX, which are popular in financial data. In the backend, we see a strong data processing engine with the pandas library to easily read and organize the uploaded material, preparing raw spreadsheet data for analysis in a clean, usable form.</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real innovation is at the core of the system: an AI engine based on Google Generative AI. This AI will be set up with pre-defined prompt templates, specifically designed to each financial document type, be it a Balance Sheet, a Profit &amp; Loss Statement, or a Cash Flow Statement. This smart core will be tasked with carefully examining the organized data and producing brief, key-metric-centric summaries. To further increase comprehension and offer instant insight, the application will also produce intuitive data visualizations, including dynamic line graphs to indicate over-time trends and simple bar charts to enable comparing varied financial metrics.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Apart from these core elements, our brainstorming has also examined a number of strong future additions. These include support for inclusion of PDF-based financial statements through Optical Character Recognition (OCR), which would greatly expand the usefulness of the application. We've also thought about comparative analysis throughout various timeframes (e.g., year-over-year or quarter-over-quarter), benchmarking with industry averages for strategic purposes, and providing adjustable summary parameters so users can modify the AI output to suit their particular needs. Additional ideas include the capability of exporting summaries and visualizations to PDF/PPT for effortless sharing, notifying users of substantial financial anomalies, and having secure user accounts for handling sensitive financial information.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For our first prototype and Minimum Viable Product (MVP), we've chosen the most critical concepts carefully to make a speedy but meaningful initial release. This comprises the web application developed using Streamlit with its ease of file uploads from CSV/XLSX, the robust backend loading of data using pandas, the feature-rich AI analysis powered by Google Generative AI with dedicated prompt templates, and the creation of readable text summaries along with simple data visualizations. This targeted strategy will enable us to check fundamental assumptions quickly.</w:t>
      </w:r>
    </w:p>
    <w:p w:rsidR="00000000" w:rsidDel="00000000" w:rsidP="00000000" w:rsidRDefault="00000000" w:rsidRPr="00000000" w14:paraId="0000000C">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