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Gemini Pro Financial Decoder: Transforming Complex Data into Actionable Insights</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Gemini Pro Financial Decoder</w:t>
      </w:r>
      <w:r w:rsidDel="00000000" w:rsidR="00000000" w:rsidRPr="00000000">
        <w:rPr>
          <w:rtl w:val="0"/>
        </w:rPr>
        <w:t xml:space="preserve"> is an innovative solution built as part of the </w:t>
      </w:r>
      <w:r w:rsidDel="00000000" w:rsidR="00000000" w:rsidRPr="00000000">
        <w:rPr>
          <w:i w:val="1"/>
          <w:rtl w:val="0"/>
        </w:rPr>
        <w:t xml:space="preserve">Generative AI in partnership with Google</w:t>
      </w:r>
      <w:r w:rsidDel="00000000" w:rsidR="00000000" w:rsidRPr="00000000">
        <w:rPr>
          <w:rtl w:val="0"/>
        </w:rPr>
        <w:t xml:space="preserve"> course by SmartBridge. It leverages the advanced capabilities of the Google Gemini 1.5 Pro model to automate and simplify the analysis of complex financial documents. By transforming raw balance sheets, profit &amp; loss statements, and cash flow reports into clear summaries and visualizations, the tool accelerates decision‑making for diverse stakeholders.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Challenges Addressed:</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Manual Data Extraction:</w:t>
      </w:r>
      <w:r w:rsidDel="00000000" w:rsidR="00000000" w:rsidRPr="00000000">
        <w:rPr>
          <w:rtl w:val="0"/>
        </w:rPr>
        <w:t xml:space="preserve"> Financial analysts like Sarah spend hours pulling key metrics from large spreadsheets, limiting time for strategic analysis.</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Comprehension Gaps:</w:t>
      </w:r>
      <w:r w:rsidDel="00000000" w:rsidR="00000000" w:rsidRPr="00000000">
        <w:rPr>
          <w:rtl w:val="0"/>
        </w:rPr>
        <w:t xml:space="preserve"> Non‑financial stakeholders (e.g., CEOs like Rajesh) struggle to interpret jargon‑heavy reports, delaying critical decisions.</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b w:val="1"/>
          <w:rtl w:val="0"/>
        </w:rPr>
        <w:t xml:space="preserve">Time Constraints:</w:t>
      </w:r>
      <w:r w:rsidDel="00000000" w:rsidR="00000000" w:rsidRPr="00000000">
        <w:rPr>
          <w:rtl w:val="0"/>
        </w:rPr>
        <w:t xml:space="preserve"> Journalists such as Mark need rapid, reliable insights from lengthy filings under tight deadlines.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Key Objectives:</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rtl w:val="0"/>
        </w:rPr>
        <w:t xml:space="preserve">Automation:</w:t>
      </w:r>
      <w:r w:rsidDel="00000000" w:rsidR="00000000" w:rsidRPr="00000000">
        <w:rPr>
          <w:rtl w:val="0"/>
        </w:rPr>
        <w:t xml:space="preserve"> Minimize manual effort by programmatically extracting and summarizing financial metrics.</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b w:val="1"/>
          <w:rtl w:val="0"/>
        </w:rPr>
        <w:t xml:space="preserve">Clarity:</w:t>
      </w:r>
      <w:r w:rsidDel="00000000" w:rsidR="00000000" w:rsidRPr="00000000">
        <w:rPr>
          <w:rtl w:val="0"/>
        </w:rPr>
        <w:t xml:space="preserve"> Translate technical terminology into concise, plain‑language summaries.</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b w:val="1"/>
          <w:rtl w:val="0"/>
        </w:rPr>
        <w:t xml:space="preserve">Accessibility:</w:t>
      </w:r>
      <w:r w:rsidDel="00000000" w:rsidR="00000000" w:rsidRPr="00000000">
        <w:rPr>
          <w:rtl w:val="0"/>
        </w:rPr>
        <w:t xml:space="preserve"> Present insights via an intuitive Streamlit interface, requiring minimal technical skill.</w:t>
      </w:r>
    </w:p>
    <w:p w:rsidR="00000000" w:rsidDel="00000000" w:rsidP="00000000" w:rsidRDefault="00000000" w:rsidRPr="00000000" w14:paraId="0000000D">
      <w:pPr>
        <w:numPr>
          <w:ilvl w:val="0"/>
          <w:numId w:val="2"/>
        </w:numPr>
        <w:spacing w:after="240" w:lineRule="auto"/>
        <w:ind w:left="720" w:hanging="360"/>
      </w:pPr>
      <w:r w:rsidDel="00000000" w:rsidR="00000000" w:rsidRPr="00000000">
        <w:rPr>
          <w:b w:val="1"/>
          <w:rtl w:val="0"/>
        </w:rPr>
        <w:t xml:space="preserve">Actionability:</w:t>
      </w:r>
      <w:r w:rsidDel="00000000" w:rsidR="00000000" w:rsidRPr="00000000">
        <w:rPr>
          <w:rtl w:val="0"/>
        </w:rPr>
        <w:t xml:space="preserve"> Provide visualizations (e.g., trend charts) that highlight financial health and emerging patterns.</w:t>
      </w:r>
    </w:p>
    <w:p w:rsidR="00000000" w:rsidDel="00000000" w:rsidP="00000000" w:rsidRDefault="00000000" w:rsidRPr="00000000" w14:paraId="0000000E">
      <w:pPr>
        <w:spacing w:after="240" w:before="240" w:lineRule="auto"/>
        <w:rPr/>
      </w:pPr>
      <w:r w:rsidDel="00000000" w:rsidR="00000000" w:rsidRPr="00000000">
        <w:rPr>
          <w:b w:val="1"/>
          <w:rtl w:val="0"/>
        </w:rPr>
        <w:t xml:space="preserve">Scope &amp; Deliverables:</w:t>
        <w:br w:type="textWrapping"/>
      </w:r>
      <w:r w:rsidDel="00000000" w:rsidR="00000000" w:rsidRPr="00000000">
        <w:rPr>
          <w:rtl w:val="0"/>
        </w:rPr>
        <w:t xml:space="preserve"> This document covers: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tl w:val="0"/>
        </w:rPr>
        <w:t xml:space="preserve">Literature Survey — contextual background on AI in finance</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tl w:val="0"/>
        </w:rPr>
        <w:t xml:space="preserve">Project Design — architecture, data flow, and AI integration</w:t>
      </w:r>
    </w:p>
    <w:p w:rsidR="00000000" w:rsidDel="00000000" w:rsidP="00000000" w:rsidRDefault="00000000" w:rsidRPr="00000000" w14:paraId="00000011">
      <w:pPr>
        <w:numPr>
          <w:ilvl w:val="0"/>
          <w:numId w:val="3"/>
        </w:numPr>
        <w:spacing w:after="240" w:lineRule="auto"/>
        <w:ind w:left="720" w:hanging="360"/>
      </w:pPr>
      <w:r w:rsidDel="00000000" w:rsidR="00000000" w:rsidRPr="00000000">
        <w:rPr>
          <w:rtl w:val="0"/>
        </w:rPr>
        <w:t xml:space="preserve">Conclusion — summary of achievements and next steps</w:t>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