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Survey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Recent research underscores the transformative potential of generative AI and large language models (LLMs) for financial analysis. Key studies include: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Smith et al. (2023) — "Generative AI in Finance: Opportunities and Challenges"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Explores AI automation of report generation and data interpretation.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Highlights LLMs’ strength in processing unstructured narrative data for summary tasks.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Johnson &amp; Lee (2024) — "LLMs for Financial Analysis: A Comparative Study"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Benchmarks models like GPT-4 versus Gemini, demonstrating Gemini’s accuracy in financial summarization.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Emphasizes the critical role of prompt engineering—informing our use of tailored templates.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Garcia et al. (2022) — "Automated Financial Reporting: Reducing Human Error and Bias"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Shows how AI-driven workflows improve consistency and reduce manual errors in financial statements.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Patel &amp; Kumar (2023) — "AI in Financial Decision-Making: Enhancing Stakeholder Understanding"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Investigates techniques for translating technical financial metrics into stakeholder-friendly insights, directly relevant to our summary outputs.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Thompson (2021) — "Challenges in Financial Data Analysis: A Review"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Identifies pain points—data complexity and time pressure—which our tool mitigates through automation and template-based summaries.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 &amp; Kim (2024) — "AI-Driven Financial Data Visualization: Enhancing User Interpretation"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Demonstrates how dynamic charts and visuals can bridge comprehension gaps, inspiring our line chart features.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Collectively, these works validate our approach of combining LLM-driven summarization with interactive visualizations to deliver rapid, accurate, and accessible financial insights.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