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Coding Solution: Gemini Pro Financial Decoder - Feature Explanation</w:t>
      </w:r>
    </w:p>
    <w:p w:rsidR="00000000" w:rsidDel="00000000" w:rsidP="00000000" w:rsidRDefault="00000000" w:rsidRPr="00000000" w14:paraId="00000002">
      <w:pPr>
        <w:pStyle w:val="Heading2"/>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Application Overview:-</w:t>
      </w:r>
    </w:p>
    <w:p w:rsidR="00000000" w:rsidDel="00000000" w:rsidP="00000000" w:rsidRDefault="00000000" w:rsidRPr="00000000" w14:paraId="00000003">
      <w:pPr>
        <w:pStyle w:val="Heading3"/>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Purpose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application leverages the power of Google Gemini Pro to transform raw financial statements into digestible summaries and insightful visualizations. It's designed to simplify the analysis of balance sheets, profit &amp; loss statements, and cash flow statements.</w:t>
      </w:r>
    </w:p>
    <w:p w:rsidR="00000000" w:rsidDel="00000000" w:rsidP="00000000" w:rsidRDefault="00000000" w:rsidRPr="00000000" w14:paraId="00000006">
      <w:pPr>
        <w:pStyle w:val="Heading2"/>
        <w:keepNext w:val="0"/>
        <w:keepLines w:val="0"/>
        <w:widowControl w:val="1"/>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7">
      <w:pPr>
        <w:pStyle w:val="Heading2"/>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Seamless File Upload:-</w:t>
      </w:r>
    </w:p>
    <w:p w:rsidR="00000000" w:rsidDel="00000000" w:rsidP="00000000" w:rsidRDefault="00000000" w:rsidRPr="00000000" w14:paraId="00000008">
      <w:pPr>
        <w:pStyle w:val="Heading3"/>
        <w:keepNext w:val="0"/>
        <w:keepLines w:val="0"/>
        <w:widowControl w:val="1"/>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9">
      <w:pPr>
        <w:pStyle w:val="Heading3"/>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Feature Description:-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effortlessly upload their financial data files. The system supports both .csv and .xlsx formats, making it versatile for various reporting needs.</w:t>
      </w:r>
    </w:p>
    <w:p w:rsidR="00000000" w:rsidDel="00000000" w:rsidP="00000000" w:rsidRDefault="00000000" w:rsidRPr="00000000" w14:paraId="0000000B">
      <w:pPr>
        <w:pStyle w:val="Heading3"/>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Key Component: st.file_uploader:-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Streamlit's built-in file uploader ensures a smooth and intuitive experience for selecting the necessary financial documents.</w:t>
      </w:r>
    </w:p>
    <w:p w:rsidR="00000000" w:rsidDel="00000000" w:rsidP="00000000" w:rsidRDefault="00000000" w:rsidRPr="00000000" w14:paraId="0000000D">
      <w:pPr>
        <w:pStyle w:val="Heading3"/>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 Snippet:-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114300" distR="114300">
            <wp:extent cx="5518785" cy="1958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8785" cy="1958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Effortless Data Ingestion:-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Feature Description:-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uploaded, the files are promptly read and converted into Pandas DataFrames. This standardized format is crucial for subsequent processing, analysis, and interaction with the LLM.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Core Logic: pd.read_csv and pd.read_excel (implicit)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intelligently handles both CSV and Excel formats to ensure data is correctly loaded.</w:t>
      </w:r>
    </w:p>
    <w:p w:rsidR="00000000" w:rsidDel="00000000" w:rsidP="00000000" w:rsidRDefault="00000000" w:rsidRPr="00000000" w14:paraId="00000017">
      <w:pPr>
        <w:pStyle w:val="Heading3"/>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Code Snippet:-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679440" cy="323151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79440"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original load_file snippet only showed pd.read_csv. For .xlsx to work, pd.read_excel would also be needed.</w:t>
      </w:r>
    </w:p>
    <w:p w:rsidR="00000000" w:rsidDel="00000000" w:rsidP="00000000" w:rsidRDefault="00000000" w:rsidRPr="00000000" w14:paraId="0000001E">
      <w:pPr>
        <w:pStyle w:val="Heading2"/>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Intelligent Summarization with Gemini Pro:-</w:t>
      </w:r>
    </w:p>
    <w:p w:rsidR="00000000" w:rsidDel="00000000" w:rsidP="00000000" w:rsidRDefault="00000000" w:rsidRPr="00000000" w14:paraId="0000001F">
      <w:pPr>
        <w:pStyle w:val="Heading3"/>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Feature Description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heart of the application, where the Google Gemini Pro model, integrated via LangChain, transforms raw data into insightful summaries. Prompt templates are dynamically constructed to guide the LLM's response, focusing on key financial metrics.</w:t>
      </w:r>
    </w:p>
    <w:p w:rsidR="00000000" w:rsidDel="00000000" w:rsidP="00000000" w:rsidRDefault="00000000" w:rsidRPr="00000000" w14:paraId="00000021">
      <w:pPr>
        <w:pStyle w:val="Heading3"/>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Key Components: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PromptTemplate: Structures questions for the LLM.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llm(prompt): Invokes the Gemini Pro model to generate content.</w:t>
      </w:r>
    </w:p>
    <w:p w:rsidR="00000000" w:rsidDel="00000000" w:rsidP="00000000" w:rsidRDefault="00000000" w:rsidRPr="00000000" w14:paraId="00000024">
      <w:pPr>
        <w:pStyle w:val="Heading3"/>
        <w:keepNext w:val="0"/>
        <w:keepLines w:val="0"/>
        <w:widowControl w:val="1"/>
        <w:rPr/>
      </w:pPr>
      <w:r w:rsidDel="00000000" w:rsidR="00000000" w:rsidRPr="00000000">
        <w:rPr>
          <w:rFonts w:ascii="Times New Roman" w:cs="Times New Roman" w:eastAsia="Times New Roman" w:hAnsi="Times New Roman"/>
          <w:u w:val="single"/>
          <w:rtl w:val="0"/>
        </w:rPr>
        <w:t xml:space="preserve">Code Snippet (Prompt Construction):-</w:t>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0" distT="0" distL="114300" distR="114300">
            <wp:extent cx="5666740" cy="284607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6740" cy="28460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Snippet (Summary Generation):-</w:t>
      </w:r>
    </w:p>
    <w:p w:rsidR="00000000" w:rsidDel="00000000" w:rsidP="00000000" w:rsidRDefault="00000000" w:rsidRPr="00000000" w14:paraId="00000029">
      <w:pPr>
        <w:pStyle w:val="Heading2"/>
        <w:keepNext w:val="0"/>
        <w:keepLines w:val="0"/>
        <w:widowControl w:val="1"/>
        <w:rPr>
          <w:rFonts w:ascii="Times New Roman" w:cs="Times New Roman" w:eastAsia="Times New Roman" w:hAnsi="Times New Roman"/>
        </w:rPr>
      </w:pPr>
      <w:r w:rsidDel="00000000" w:rsidR="00000000" w:rsidRPr="00000000">
        <w:rPr/>
        <w:drawing>
          <wp:inline distB="0" distT="0" distL="114300" distR="114300">
            <wp:extent cx="5274310" cy="211328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74310" cy="21132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widowControl w:val="1"/>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Visualizing Key Metrics:-</w:t>
      </w:r>
    </w:p>
    <w:p w:rsidR="00000000" w:rsidDel="00000000" w:rsidP="00000000" w:rsidRDefault="00000000" w:rsidRPr="00000000" w14:paraId="0000002B">
      <w:pPr>
        <w:pStyle w:val="Heading3"/>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Description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complement the LLM-generated summaries, the application provides dynamic data visualizations. Line charts are generated for numerical data, offering a quick visual overview of trends, alongside a tabular display for detailed data inspection.</w:t>
      </w:r>
    </w:p>
    <w:p w:rsidR="00000000" w:rsidDel="00000000" w:rsidP="00000000" w:rsidRDefault="00000000" w:rsidRPr="00000000" w14:paraId="0000002D">
      <w:pPr>
        <w:pStyle w:val="Heading3"/>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 st.line_chart &amp; st.write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Streamlit's intuitive functions make it simple to display both charts and raw data.</w:t>
      </w:r>
    </w:p>
    <w:p w:rsidR="00000000" w:rsidDel="00000000" w:rsidP="00000000" w:rsidRDefault="00000000" w:rsidRPr="00000000" w14:paraId="0000002F">
      <w:pPr>
        <w:pStyle w:val="Heading3"/>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Snippet:-</w:t>
      </w:r>
    </w:p>
    <w:p w:rsidR="00000000" w:rsidDel="00000000" w:rsidP="00000000" w:rsidRDefault="00000000" w:rsidRPr="00000000" w14:paraId="00000030">
      <w:pPr>
        <w:rPr/>
      </w:pPr>
      <w:r w:rsidDel="00000000" w:rsidR="00000000" w:rsidRPr="00000000">
        <w:rPr/>
        <w:drawing>
          <wp:inline distB="0" distT="0" distL="114300" distR="114300">
            <wp:extent cx="5267325" cy="12160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67325" cy="1216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User Experience (Main UI)</w:t>
      </w:r>
    </w:p>
    <w:p w:rsidR="00000000" w:rsidDel="00000000" w:rsidP="00000000" w:rsidRDefault="00000000" w:rsidRPr="00000000" w14:paraId="00000032">
      <w:pPr>
        <w:pStyle w:val="Heading3"/>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Description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Streamlit-powered user interface seamlessly integrates all the backend logic. Users can upload files, trigger report generation with a single click, and then view the comprehensive summaries and interactive visualizations directly within the app.</w:t>
      </w:r>
    </w:p>
    <w:p w:rsidR="00000000" w:rsidDel="00000000" w:rsidP="00000000" w:rsidRDefault="00000000" w:rsidRPr="00000000" w14:paraId="00000034">
      <w:pPr>
        <w:pStyle w:val="Heading3"/>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Workflow: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Display: st.title for clear identification.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Upload: Calls upload_file() for input.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Generation Button: st.button initiates the processing.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&amp; Visual Display: Results from generate_summary() and create_visuals() are presented.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Snippet</w:t>
      </w:r>
    </w:p>
    <w:p w:rsidR="00000000" w:rsidDel="00000000" w:rsidP="00000000" w:rsidRDefault="00000000" w:rsidRPr="00000000" w14:paraId="0000003E">
      <w:pPr>
        <w:rPr/>
      </w:pPr>
      <w:bookmarkStart w:colFirst="0" w:colLast="0" w:name="_c1bbnebfchjj" w:id="0"/>
      <w:bookmarkEnd w:id="0"/>
      <w:r w:rsidDel="00000000" w:rsidR="00000000" w:rsidRPr="00000000">
        <w:rPr/>
        <w:drawing>
          <wp:inline distB="0" distT="0" distL="114300" distR="114300">
            <wp:extent cx="5270500" cy="446849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70500" cy="4468495"/>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5E11766C697947D18630490F4007A93A_11</vt:lpwstr>
  </property>
</Properties>
</file>