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Project Flow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functionality of the Gemini Pro Financial Decoder can be broken down into a pipeline of user interaction, data processing, AI summarization, and result rendering. Each step has been carefully crafted to ensure a smooth, intuitive experience while leveraging powerful AI behind the scenes.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Engagement: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The user accesses a sleek and minimalistic Streamlit-based web interface.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Files—balance sheets, income statements, or cash flow statements in CSV or XLSX format—can be uploaded using an st.file_uploader() widget.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Once uploaded, the system provides immediate feedback by displaying the file name, and a preview of the contents (e.g., first 5 rows of the DataFrame).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Ingestion &amp; Preparation: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Uploaded documents are automatically checked for file format compatibility.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Files are parsed into Pandas DataFrames with schema validation.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The system checks for required columns and appropriate data types. If issues arise, an error message explains what’s missing or incorrect.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This feedback loop ensures the user can quickly re-upload corrected files without consulting documentation.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Intelligent Analysis: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Once validated, financial data is mapped into prompt templates.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These templates are context-specific and designed to elicit structured, insightful summaries from the Google Gemini 1.5 Pro model.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For example, a P&amp;L template might ask: “Summarize revenue trends, cost changes, and net profit evolution.”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The AI then returns a summary emphasizing metrics such as gross margin, operating expense trends, and significant deviations.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 Delivery: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The AI-generated summaries are cleanly rendered under structured headings (e.g., “Balance Sheet Insights”).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Data is also visualized using Streamlit’s built-in charting tools (st.line_chart()), showing trends like revenue over quarters or net cash flow over time.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This combination of text and visual context helps users quickly interpret trends without extensive financial background.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Use Cases: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Sarah sees a revenue dip over Q2 via chart and reads a bullet-point explanation.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Rajesh gets an immediate picture of company solvency.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Mark generates quotable insights for his article.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end-to-end flow—from upload to summary and charting—is designed for flexibility, scalability, and accessibility.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