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560"/>
              <w:left w:type="dxa" w:w="400"/>
              <w:bottom w:type="dxa" w:w="560"/>
              <w:right w:type="dxa" w:w="400"/>
            </w:tcMar>
          </w:tcPr>
          <w:p>
            <w:pPr>
              <w:spacing w:before="0" w:after="100"/>
              <w:jc w:val="center"/>
            </w:pPr>
            <w:r>
              <w:rPr>
                <w:rFonts w:ascii="Arial" w:cs="Arial" w:eastAsia="Arial" w:hAnsi="Arial"/>
                <w:b/>
                <w:bCs/>
                <w:color w:val="FFFFFF"/>
                <w:sz w:val="64"/>
                <w:szCs w:val="64"/>
              </w:rPr>
              <w:t xml:space="preserve">OzShorts</w:t>
            </w:r>
          </w:p>
          <w:p>
            <w:pPr>
              <w:spacing w:before="0" w:after="80"/>
              <w:jc w:val="center"/>
            </w:pPr>
            <w:r>
              <w:rPr>
                <w:rFonts w:ascii="Arial" w:cs="Arial" w:eastAsia="Arial" w:hAnsi="Arial"/>
                <w:color w:val="AED6F1"/>
                <w:sz w:val="36"/>
                <w:szCs w:val="36"/>
              </w:rPr>
              <w:t xml:space="preserve">Double Click — Explainer Framework</w:t>
            </w:r>
          </w:p>
          <w:p>
            <w:pPr>
              <w:spacing w:before="80" w:after="0"/>
              <w:jc w:val="center"/>
            </w:pPr>
            <w:r>
              <w:rPr>
                <w:rFonts w:ascii="Arial" w:cs="Arial" w:eastAsia="Arial" w:hAnsi="Arial"/>
                <w:i/>
                <w:iCs/>
                <w:color w:val="D6EAF8"/>
                <w:sz w:val="22"/>
                <w:szCs w:val="22"/>
              </w:rPr>
              <w:t xml:space="preserve">Voice, structure, sample articles &amp; LLM prompt architecture</w:t>
            </w:r>
          </w:p>
          <w:p>
            <w:pPr>
              <w:spacing w:before="80" w:after="0"/>
              <w:jc w:val="center"/>
            </w:pPr>
            <w:r>
              <w:rPr>
                <w:rFonts w:ascii="Arial" w:cs="Arial" w:eastAsia="Arial" w:hAnsi="Arial"/>
                <w:color w:val="7FB3D3"/>
                <w:sz w:val="20"/>
                <w:szCs w:val="20"/>
              </w:rPr>
              <w:t xml:space="preserve">wmwtech  |  2025</w:t>
            </w:r>
          </w:p>
        </w:tc>
      </w:tr>
    </w:tbl>
    <w:p>
      <w:pPr>
        <w:spacing w:before="180"/>
      </w:pPr>
      <w:r>
        <w:t xml:space="preserve"/>
      </w:r>
    </w:p>
    <w:p>
      <w:pPr>
        <w:pStyle w:val="Heading1"/>
        <w:spacing w:before="400" w:after="140"/>
      </w:pPr>
      <w:r>
        <w:rPr>
          <w:rFonts w:ascii="Arial" w:cs="Arial" w:eastAsia="Arial" w:hAnsi="Arial"/>
          <w:b/>
          <w:bCs/>
          <w:color w:val="1B4F8A"/>
          <w:sz w:val="34"/>
          <w:szCs w:val="34"/>
        </w:rPr>
        <w:t xml:space="preserve">1. What Is the Double Click?</w:t>
      </w:r>
    </w:p>
    <w:p>
      <w:pPr>
        <w:spacing w:before="60" w:after="60"/>
      </w:pPr>
      <w:r>
        <w:rPr>
          <w:rFonts w:ascii="Arial" w:cs="Arial" w:eastAsia="Arial" w:hAnsi="Arial"/>
          <w:color w:val="2C3E50"/>
          <w:sz w:val="22"/>
          <w:szCs w:val="22"/>
        </w:rPr>
        <w:t xml:space="preserve">The Double Click is OzShorts' depth layer. Every story card in the feed can be expanded — and when it is, the user sees a short-form explainer that helps them move from knowing what happened to understanding why it happened and what it means for them.</w:t>
      </w:r>
    </w:p>
    <w:p>
      <w:pPr>
        <w:spacing w:before="60"/>
      </w:pPr>
      <w:r>
        <w:t xml:space="preserve"/>
      </w:r>
    </w:p>
    <w:p>
      <w:pPr>
        <w:spacing w:before="60" w:after="60"/>
      </w:pPr>
      <w:r>
        <w:rPr>
          <w:rFonts w:ascii="Arial" w:cs="Arial" w:eastAsia="Arial" w:hAnsi="Arial"/>
          <w:color w:val="2C3E50"/>
          <w:sz w:val="22"/>
          <w:szCs w:val="22"/>
        </w:rPr>
        <w:t xml:space="preserve">This explainer is not a longer version of the card. It is not a summary of a single article. It is a synthesised narrative drawn from the full story cluster — multiple sources, structured into a coherent arc.</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40"/>
              <w:left w:type="dxa" w:w="220"/>
              <w:bottom w:type="dxa" w:w="140"/>
              <w:right w:type="dxa" w:w="220"/>
            </w:tcMar>
          </w:tcPr>
          <w:p>
            <w:r>
              <w:rPr>
                <w:rFonts w:ascii="Arial" w:cs="Arial" w:eastAsia="Arial" w:hAnsi="Arial"/>
                <w:b/>
                <w:bCs/>
                <w:i/>
                <w:iCs/>
                <w:color w:val="1B4F8A"/>
                <w:sz w:val="22"/>
                <w:szCs w:val="22"/>
              </w:rPr>
              <w:t xml:space="preserve">The Double Click is OzShorts' core differentiator. Cards = awareness. Double Click = understanding.</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The Finshots Model</w:t>
      </w:r>
    </w:p>
    <w:p>
      <w:pPr>
        <w:spacing w:before="60" w:after="60"/>
      </w:pPr>
      <w:r>
        <w:rPr>
          <w:rFonts w:ascii="Arial" w:cs="Arial" w:eastAsia="Arial" w:hAnsi="Arial"/>
          <w:color w:val="2C3E50"/>
          <w:sz w:val="22"/>
          <w:szCs w:val="22"/>
        </w:rPr>
        <w:t xml:space="preserve">The Double Click takes its cue from Finshots, an Indian financial newsletter read by over 500,000 professionals. Finshots is not a news wire. It doesn't report facts — it explains them. Every story follows an arc: what happened, why it happened, what it means, what comes next.</w:t>
      </w:r>
    </w:p>
    <w:p>
      <w:pPr>
        <w:spacing w:before="60"/>
      </w:pPr>
      <w:r>
        <w:t xml:space="preserve"/>
      </w:r>
    </w:p>
    <w:p>
      <w:pPr>
        <w:spacing w:before="60" w:after="60"/>
      </w:pPr>
      <w:r>
        <w:rPr>
          <w:rFonts w:ascii="Arial" w:cs="Arial" w:eastAsia="Arial" w:hAnsi="Arial"/>
          <w:color w:val="2C3E50"/>
          <w:sz w:val="22"/>
          <w:szCs w:val="22"/>
        </w:rPr>
        <w:t xml:space="preserve">What makes Finshots work isn't just clarity. It's the conversational tone — the sense that a smart, well-informed person is walking you through something they genuinely understand. Not an AI. Not a journalist filing a report. A person talking to you.</w:t>
      </w:r>
    </w:p>
    <w:p>
      <w:pPr>
        <w:spacing w:before="60"/>
      </w:pPr>
      <w:r>
        <w:t xml:space="preserve"/>
      </w:r>
    </w:p>
    <w:p>
      <w:pPr>
        <w:spacing w:before="60" w:after="60"/>
      </w:pPr>
      <w:r>
        <w:rPr>
          <w:rFonts w:ascii="Arial" w:cs="Arial" w:eastAsia="Arial" w:hAnsi="Arial"/>
          <w:color w:val="2C3E50"/>
          <w:sz w:val="22"/>
          <w:szCs w:val="22"/>
        </w:rPr>
        <w:t xml:space="preserve">That is the voice OzShorts Double Click should aim for.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Finshots does this well</w:t>
            </w:r>
          </w:p>
        </w:tc>
        <w:tc>
          <w:tcPr>
            <w:tcW w:type="dxa" w:w="468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OzShorts adapts it like this</w:t>
            </w:r>
          </w:p>
        </w:tc>
      </w:tr>
      <w:tr>
        <w:tc>
          <w:tcPr>
            <w:tcW w:type="dxa" w:w="468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Conversational, first-person tone</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Same tone — but shorter, more structured</w:t>
            </w:r>
          </w:p>
        </w:tc>
      </w:tr>
      <w:tr>
        <w:tc>
          <w:tcPr>
            <w:tcW w:type="dxa" w:w="468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One story per edition, ~600 words</w:t>
            </w:r>
          </w:p>
        </w:tc>
        <w:tc>
          <w:tcPr>
            <w:tcW w:type="dxa" w:w="468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Tiered depth — 200 to 600 words by story importance</w:t>
            </w:r>
          </w:p>
        </w:tc>
      </w:tr>
      <w:tr>
        <w:tc>
          <w:tcPr>
            <w:tcW w:type="dxa" w:w="468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Explains from first principles</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Assumes some financial literacy in the reader</w:t>
            </w:r>
          </w:p>
        </w:tc>
      </w:tr>
      <w:tr>
        <w:tc>
          <w:tcPr>
            <w:tcW w:type="dxa" w:w="468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India-focused, business/finance</w:t>
            </w:r>
          </w:p>
        </w:tc>
        <w:tc>
          <w:tcPr>
            <w:tcW w:type="dxa" w:w="468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Australia-focused, broader professional topics</w:t>
            </w:r>
          </w:p>
        </w:tc>
      </w:tr>
      <w:tr>
        <w:tc>
          <w:tcPr>
            <w:tcW w:type="dxa" w:w="468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Ends with a reflective close</w:t>
            </w:r>
          </w:p>
        </w:tc>
        <w:tc>
          <w:tcPr>
            <w:tcW w:type="dxa" w:w="468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Ends with a forward-looking 'what to watch'</w:t>
            </w:r>
          </w:p>
        </w:tc>
      </w:tr>
      <w:tr>
        <w:tc>
          <w:tcPr>
            <w:tcW w:type="dxa" w:w="468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Rhetorical questions to guide the reader</w:t>
            </w:r>
          </w:p>
        </w:tc>
        <w:tc>
          <w:tcPr>
            <w:tcW w:type="dxa" w:w="468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Same technique — used at each transition point</w:t>
            </w:r>
          </w:p>
        </w:tc>
      </w:tr>
    </w:tbl>
    <w:p>
      <w:pPr>
        <w:spacing w:before="120"/>
      </w:pPr>
      <w:r>
        <w:t xml:space="preserve"/>
      </w:r>
    </w:p>
    <w:p>
      <w:pPr>
        <w:pBdr>
          <w:bottom w:val="single" w:color="D5D8DC" w:sz="6" w:space="1"/>
        </w:pBdr>
        <w:spacing w:before="240" w:after="240"/>
      </w:pPr>
      <w:r>
        <w:t xml:space="preserve"/>
      </w:r>
    </w:p>
    <w:p>
      <w:pPr>
        <w:pStyle w:val="Heading1"/>
        <w:spacing w:before="400" w:after="140"/>
      </w:pPr>
      <w:r>
        <w:rPr>
          <w:rFonts w:ascii="Arial" w:cs="Arial" w:eastAsia="Arial" w:hAnsi="Arial"/>
          <w:b/>
          <w:bCs/>
          <w:color w:val="1B4F8A"/>
          <w:sz w:val="34"/>
          <w:szCs w:val="34"/>
        </w:rPr>
        <w:t xml:space="preserve">2. Voice and Style Guide</w:t>
      </w:r>
    </w:p>
    <w:p>
      <w:pPr>
        <w:spacing w:before="60" w:after="60"/>
      </w:pPr>
      <w:r>
        <w:rPr>
          <w:rFonts w:ascii="Arial" w:cs="Arial" w:eastAsia="Arial" w:hAnsi="Arial"/>
          <w:color w:val="2C3E50"/>
          <w:sz w:val="22"/>
          <w:szCs w:val="22"/>
        </w:rPr>
        <w:t xml:space="preserve">The Double Click voice is the most important editorial decision in OzShorts. Get it wrong and it reads like an AI. Get it right and it becomes the reason people open the app.</w:t>
      </w:r>
    </w:p>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AF2FB" w:val="clear"/>
            <w:tcMar>
              <w:top w:type="dxa" w:w="120"/>
              <w:left w:type="dxa" w:w="180"/>
              <w:bottom w:type="dxa" w:w="120"/>
              <w:right w:type="dxa" w:w="120"/>
            </w:tcMar>
            <w:vAlign w:val="top"/>
          </w:tcPr>
          <w:p>
            <w:r>
              <w:rPr>
                <w:rFonts w:ascii="Arial" w:cs="Arial" w:eastAsia="Arial" w:hAnsi="Arial"/>
                <w:b/>
                <w:bCs/>
                <w:color w:val="1B4F8A"/>
                <w:sz w:val="20"/>
                <w:szCs w:val="20"/>
              </w:rPr>
              <w:t xml:space="preserve">Write like a person</w:t>
            </w:r>
          </w:p>
        </w:tc>
        <w:tc>
          <w:tcPr>
            <w:tcW w:type="dxa" w:w="7760"/>
            <w:tcBorders>
              <w:top w:val="none" w:color="FFFFFF" w:sz="0"/>
              <w:left w:val="none" w:color="FFFFFF" w:sz="0"/>
              <w:bottom w:val="none" w:color="FFFFFF" w:sz="0"/>
              <w:right w:val="none" w:color="FFFFFF" w:sz="0"/>
            </w:tcBorders>
            <w:shd w:fill="EAF2FB" w:val="clear"/>
            <w:tcMar>
              <w:top w:type="dxa" w:w="120"/>
              <w:left w:type="dxa" w:w="120"/>
              <w:bottom w:type="dxa" w:w="120"/>
              <w:right w:type="dxa" w:w="180"/>
            </w:tcMar>
          </w:tcPr>
          <w:p>
            <w:pPr>
              <w:spacing w:before="40" w:after="40"/>
            </w:pPr>
            <w:r>
              <w:rPr>
                <w:rFonts w:ascii="Arial" w:cs="Arial" w:eastAsia="Arial" w:hAnsi="Arial"/>
                <w:color w:val="2C3E50"/>
                <w:sz w:val="22"/>
                <w:szCs w:val="22"/>
              </w:rPr>
              <w:t xml:space="preserve">You are explaining this story to a smart friend over coffee. Not filing a report. Not generating a summary. Talking.</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AF2FB" w:val="clear"/>
            <w:tcMar>
              <w:top w:type="dxa" w:w="120"/>
              <w:left w:type="dxa" w:w="180"/>
              <w:bottom w:type="dxa" w:w="120"/>
              <w:right w:type="dxa" w:w="120"/>
            </w:tcMar>
            <w:vAlign w:val="top"/>
          </w:tcPr>
          <w:p>
            <w:r>
              <w:rPr>
                <w:rFonts w:ascii="Arial" w:cs="Arial" w:eastAsia="Arial" w:hAnsi="Arial"/>
                <w:b/>
                <w:bCs/>
                <w:color w:val="1B4F8A"/>
                <w:sz w:val="20"/>
                <w:szCs w:val="20"/>
              </w:rPr>
              <w:t xml:space="preserve">One idea per paragraph</w:t>
            </w:r>
          </w:p>
        </w:tc>
        <w:tc>
          <w:tcPr>
            <w:tcW w:type="dxa" w:w="7760"/>
            <w:tcBorders>
              <w:top w:val="none" w:color="FFFFFF" w:sz="0"/>
              <w:left w:val="none" w:color="FFFFFF" w:sz="0"/>
              <w:bottom w:val="none" w:color="FFFFFF" w:sz="0"/>
              <w:right w:val="none" w:color="FFFFFF" w:sz="0"/>
            </w:tcBorders>
            <w:shd w:fill="EAF2FB" w:val="clear"/>
            <w:tcMar>
              <w:top w:type="dxa" w:w="120"/>
              <w:left w:type="dxa" w:w="120"/>
              <w:bottom w:type="dxa" w:w="120"/>
              <w:right w:type="dxa" w:w="180"/>
            </w:tcMar>
          </w:tcPr>
          <w:p>
            <w:pPr>
              <w:spacing w:before="40" w:after="40"/>
            </w:pPr>
            <w:r>
              <w:rPr>
                <w:rFonts w:ascii="Arial" w:cs="Arial" w:eastAsia="Arial" w:hAnsi="Arial"/>
                <w:color w:val="2C3E50"/>
                <w:sz w:val="22"/>
                <w:szCs w:val="22"/>
              </w:rPr>
              <w:t xml:space="preserve">Every paragraph contains exactly one idea. When the idea shifts, the paragraph breaks. This is what creates the feeling of momentum — the reader keeps moving forward.</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AF2FB" w:val="clear"/>
            <w:tcMar>
              <w:top w:type="dxa" w:w="120"/>
              <w:left w:type="dxa" w:w="180"/>
              <w:bottom w:type="dxa" w:w="120"/>
              <w:right w:type="dxa" w:w="120"/>
            </w:tcMar>
            <w:vAlign w:val="top"/>
          </w:tcPr>
          <w:p>
            <w:r>
              <w:rPr>
                <w:rFonts w:ascii="Arial" w:cs="Arial" w:eastAsia="Arial" w:hAnsi="Arial"/>
                <w:b/>
                <w:bCs/>
                <w:color w:val="1B4F8A"/>
                <w:sz w:val="20"/>
                <w:szCs w:val="20"/>
              </w:rPr>
              <w:t xml:space="preserve">Ask questions</w:t>
            </w:r>
          </w:p>
        </w:tc>
        <w:tc>
          <w:tcPr>
            <w:tcW w:type="dxa" w:w="7760"/>
            <w:tcBorders>
              <w:top w:val="none" w:color="FFFFFF" w:sz="0"/>
              <w:left w:val="none" w:color="FFFFFF" w:sz="0"/>
              <w:bottom w:val="none" w:color="FFFFFF" w:sz="0"/>
              <w:right w:val="none" w:color="FFFFFF" w:sz="0"/>
            </w:tcBorders>
            <w:shd w:fill="EAF2FB" w:val="clear"/>
            <w:tcMar>
              <w:top w:type="dxa" w:w="120"/>
              <w:left w:type="dxa" w:w="120"/>
              <w:bottom w:type="dxa" w:w="120"/>
              <w:right w:type="dxa" w:w="180"/>
            </w:tcMar>
          </w:tcPr>
          <w:p>
            <w:pPr>
              <w:spacing w:before="40" w:after="40"/>
            </w:pPr>
            <w:r>
              <w:rPr>
                <w:rFonts w:ascii="Arial" w:cs="Arial" w:eastAsia="Arial" w:hAnsi="Arial"/>
                <w:color w:val="2C3E50"/>
                <w:sz w:val="22"/>
                <w:szCs w:val="22"/>
              </w:rPr>
              <w:t xml:space="preserve">Rhetorical questions are the gear changes of a good explainer. They signal a transition and make the reader feel like they're following an argument, not being lectured at. Use them at turning points.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AF2FB" w:val="clear"/>
            <w:tcMar>
              <w:top w:type="dxa" w:w="120"/>
              <w:left w:type="dxa" w:w="180"/>
              <w:bottom w:type="dxa" w:w="120"/>
              <w:right w:type="dxa" w:w="120"/>
            </w:tcMar>
            <w:vAlign w:val="top"/>
          </w:tcPr>
          <w:p>
            <w:r>
              <w:rPr>
                <w:rFonts w:ascii="Arial" w:cs="Arial" w:eastAsia="Arial" w:hAnsi="Arial"/>
                <w:b/>
                <w:bCs/>
                <w:color w:val="1B4F8A"/>
                <w:sz w:val="20"/>
                <w:szCs w:val="20"/>
              </w:rPr>
              <w:t xml:space="preserve">Translate jargon instantly</w:t>
            </w:r>
          </w:p>
        </w:tc>
        <w:tc>
          <w:tcPr>
            <w:tcW w:type="dxa" w:w="7760"/>
            <w:tcBorders>
              <w:top w:val="none" w:color="FFFFFF" w:sz="0"/>
              <w:left w:val="none" w:color="FFFFFF" w:sz="0"/>
              <w:bottom w:val="none" w:color="FFFFFF" w:sz="0"/>
              <w:right w:val="none" w:color="FFFFFF" w:sz="0"/>
            </w:tcBorders>
            <w:shd w:fill="EAF2FB" w:val="clear"/>
            <w:tcMar>
              <w:top w:type="dxa" w:w="120"/>
              <w:left w:type="dxa" w:w="120"/>
              <w:bottom w:type="dxa" w:w="120"/>
              <w:right w:type="dxa" w:w="180"/>
            </w:tcMar>
          </w:tcPr>
          <w:p>
            <w:pPr>
              <w:spacing w:before="40" w:after="40"/>
            </w:pPr>
            <w:r>
              <w:rPr>
                <w:rFonts w:ascii="Arial" w:cs="Arial" w:eastAsia="Arial" w:hAnsi="Arial"/>
                <w:color w:val="2C3E50"/>
                <w:sz w:val="22"/>
                <w:szCs w:val="22"/>
              </w:rPr>
              <w:t xml:space="preserve">Use the technical term if it's correct — but follow it immediately with a plain-English explanation. "The cash rate — the benchmark interest rate the RBA sets to influence all other borrowing costs."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EAF2FB" w:val="clear"/>
            <w:tcMar>
              <w:top w:type="dxa" w:w="120"/>
              <w:left w:type="dxa" w:w="180"/>
              <w:bottom w:type="dxa" w:w="120"/>
              <w:right w:type="dxa" w:w="120"/>
            </w:tcMar>
            <w:vAlign w:val="top"/>
          </w:tcPr>
          <w:p>
            <w:r>
              <w:rPr>
                <w:rFonts w:ascii="Arial" w:cs="Arial" w:eastAsia="Arial" w:hAnsi="Arial"/>
                <w:b/>
                <w:bCs/>
                <w:color w:val="1B4F8A"/>
                <w:sz w:val="20"/>
                <w:szCs w:val="20"/>
              </w:rPr>
              <w:t xml:space="preserve">Never editorialize</w:t>
            </w:r>
          </w:p>
        </w:tc>
        <w:tc>
          <w:tcPr>
            <w:tcW w:type="dxa" w:w="7760"/>
            <w:tcBorders>
              <w:top w:val="none" w:color="FFFFFF" w:sz="0"/>
              <w:left w:val="none" w:color="FFFFFF" w:sz="0"/>
              <w:bottom w:val="none" w:color="FFFFFF" w:sz="0"/>
              <w:right w:val="none" w:color="FFFFFF" w:sz="0"/>
            </w:tcBorders>
            <w:shd w:fill="EAF2FB" w:val="clear"/>
            <w:tcMar>
              <w:top w:type="dxa" w:w="120"/>
              <w:left w:type="dxa" w:w="120"/>
              <w:bottom w:type="dxa" w:w="120"/>
              <w:right w:type="dxa" w:w="180"/>
            </w:tcMar>
          </w:tcPr>
          <w:p>
            <w:pPr>
              <w:spacing w:before="40" w:after="40"/>
            </w:pPr>
            <w:r>
              <w:rPr>
                <w:rFonts w:ascii="Arial" w:cs="Arial" w:eastAsia="Arial" w:hAnsi="Arial"/>
                <w:color w:val="2C3E50"/>
                <w:sz w:val="22"/>
                <w:szCs w:val="22"/>
              </w:rPr>
              <w:t xml:space="preserve">State facts. Present perspectives. Let the reader draw conclusions. The moment the explainer has an opinion, it loses authority.</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Language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FDEDEC" w:val="clear"/>
            <w:tcMar>
              <w:top w:type="dxa" w:w="120"/>
              <w:left w:type="dxa" w:w="180"/>
              <w:bottom w:type="dxa" w:w="120"/>
              <w:right w:type="dxa" w:w="180"/>
            </w:tcMar>
          </w:tcPr>
          <w:p>
            <w:r>
              <w:rPr>
                <w:rFonts w:ascii="Arial" w:cs="Arial" w:eastAsia="Arial" w:hAnsi="Arial"/>
                <w:b/>
                <w:bCs/>
                <w:color w:val="C0392B"/>
                <w:sz w:val="22"/>
                <w:szCs w:val="22"/>
              </w:rPr>
              <w:t xml:space="preserve">Never write this</w:t>
            </w:r>
          </w:p>
          <w:p>
            <w:pPr>
              <w:spacing w:before="60"/>
            </w:pPr>
            <w:r>
              <w:t xml:space="preserve"/>
            </w:r>
          </w:p>
          <w:p>
            <w:pPr>
              <w:pStyle w:val="ListParagraph"/>
              <w:numPr>
                <w:ilvl w:val="0"/>
                <w:numId w:val="2"/>
              </w:numPr>
              <w:spacing w:before="30" w:after="30"/>
            </w:pPr>
            <w:r>
              <w:rPr>
                <w:rFonts w:ascii="Arial" w:cs="Arial" w:eastAsia="Arial" w:hAnsi="Arial"/>
                <w:i/>
                <w:iCs/>
                <w:color w:val="C0392B"/>
                <w:sz w:val="20"/>
                <w:szCs w:val="20"/>
              </w:rPr>
              <w:t xml:space="preserve">It is worth noting that...</w:t>
            </w:r>
          </w:p>
          <w:p>
            <w:pPr>
              <w:pStyle w:val="ListParagraph"/>
              <w:numPr>
                <w:ilvl w:val="0"/>
                <w:numId w:val="2"/>
              </w:numPr>
              <w:spacing w:before="30" w:after="30"/>
            </w:pPr>
            <w:r>
              <w:rPr>
                <w:rFonts w:ascii="Arial" w:cs="Arial" w:eastAsia="Arial" w:hAnsi="Arial"/>
                <w:i/>
                <w:iCs/>
                <w:color w:val="C0392B"/>
                <w:sz w:val="20"/>
                <w:szCs w:val="20"/>
              </w:rPr>
              <w:t xml:space="preserve">However, it is important to...</w:t>
            </w:r>
          </w:p>
          <w:p>
            <w:pPr>
              <w:pStyle w:val="ListParagraph"/>
              <w:numPr>
                <w:ilvl w:val="0"/>
                <w:numId w:val="2"/>
              </w:numPr>
              <w:spacing w:before="30" w:after="30"/>
            </w:pPr>
            <w:r>
              <w:rPr>
                <w:rFonts w:ascii="Arial" w:cs="Arial" w:eastAsia="Arial" w:hAnsi="Arial"/>
                <w:i/>
                <w:iCs/>
                <w:color w:val="C0392B"/>
                <w:sz w:val="20"/>
                <w:szCs w:val="20"/>
              </w:rPr>
              <w:t xml:space="preserve">In conclusion...</w:t>
            </w:r>
          </w:p>
          <w:p>
            <w:pPr>
              <w:pStyle w:val="ListParagraph"/>
              <w:numPr>
                <w:ilvl w:val="0"/>
                <w:numId w:val="2"/>
              </w:numPr>
              <w:spacing w:before="30" w:after="30"/>
            </w:pPr>
            <w:r>
              <w:rPr>
                <w:rFonts w:ascii="Arial" w:cs="Arial" w:eastAsia="Arial" w:hAnsi="Arial"/>
                <w:i/>
                <w:iCs/>
                <w:color w:val="C0392B"/>
                <w:sz w:val="20"/>
                <w:szCs w:val="20"/>
              </w:rPr>
              <w:t xml:space="preserve">This does not necessarily indicate...</w:t>
            </w:r>
          </w:p>
          <w:p>
            <w:pPr>
              <w:pStyle w:val="ListParagraph"/>
              <w:numPr>
                <w:ilvl w:val="0"/>
                <w:numId w:val="2"/>
              </w:numPr>
              <w:spacing w:before="30" w:after="30"/>
            </w:pPr>
            <w:r>
              <w:rPr>
                <w:rFonts w:ascii="Arial" w:cs="Arial" w:eastAsia="Arial" w:hAnsi="Arial"/>
                <w:i/>
                <w:iCs/>
                <w:color w:val="C0392B"/>
                <w:sz w:val="20"/>
                <w:szCs w:val="20"/>
              </w:rPr>
              <w:t xml:space="preserve">Furthermore...</w:t>
            </w:r>
          </w:p>
          <w:p>
            <w:pPr>
              <w:pStyle w:val="ListParagraph"/>
              <w:numPr>
                <w:ilvl w:val="0"/>
                <w:numId w:val="2"/>
              </w:numPr>
              <w:spacing w:before="30" w:after="30"/>
            </w:pPr>
            <w:r>
              <w:rPr>
                <w:rFonts w:ascii="Arial" w:cs="Arial" w:eastAsia="Arial" w:hAnsi="Arial"/>
                <w:i/>
                <w:iCs/>
                <w:color w:val="C0392B"/>
                <w:sz w:val="20"/>
                <w:szCs w:val="20"/>
              </w:rPr>
              <w:t xml:space="preserve">Rates were held by the RBA</w:t>
            </w:r>
          </w:p>
          <w:p>
            <w:pPr>
              <w:pStyle w:val="ListParagraph"/>
              <w:numPr>
                <w:ilvl w:val="0"/>
                <w:numId w:val="2"/>
              </w:numPr>
              <w:spacing w:before="30" w:after="30"/>
            </w:pPr>
            <w:r>
              <w:rPr>
                <w:rFonts w:ascii="Arial" w:cs="Arial" w:eastAsia="Arial" w:hAnsi="Arial"/>
                <w:i/>
                <w:iCs/>
                <w:color w:val="C0392B"/>
                <w:sz w:val="20"/>
                <w:szCs w:val="20"/>
              </w:rPr>
              <w:t xml:space="preserve">The decision was made to...</w:t>
            </w:r>
          </w:p>
          <w:p>
            <w:pPr>
              <w:pStyle w:val="ListParagraph"/>
              <w:numPr>
                <w:ilvl w:val="0"/>
                <w:numId w:val="2"/>
              </w:numPr>
              <w:spacing w:before="30" w:after="30"/>
            </w:pPr>
            <w:r>
              <w:rPr>
                <w:rFonts w:ascii="Arial" w:cs="Arial" w:eastAsia="Arial" w:hAnsi="Arial"/>
                <w:i/>
                <w:iCs/>
                <w:color w:val="C0392B"/>
                <w:sz w:val="20"/>
                <w:szCs w:val="20"/>
              </w:rPr>
              <w:t xml:space="preserve">Experts say...</w:t>
            </w:r>
          </w:p>
          <w:p>
            <w:pPr>
              <w:pStyle w:val="ListParagraph"/>
              <w:numPr>
                <w:ilvl w:val="0"/>
                <w:numId w:val="2"/>
              </w:numPr>
              <w:spacing w:before="30" w:after="30"/>
            </w:pPr>
            <w:r>
              <w:rPr>
                <w:rFonts w:ascii="Arial" w:cs="Arial" w:eastAsia="Arial" w:hAnsi="Arial"/>
                <w:i/>
                <w:iCs/>
                <w:color w:val="C0392B"/>
                <w:sz w:val="20"/>
                <w:szCs w:val="20"/>
              </w:rPr>
              <w:t xml:space="preserve">It remains to be seen whether...</w:t>
            </w:r>
          </w:p>
          <w:p>
            <w:pPr>
              <w:pStyle w:val="ListParagraph"/>
              <w:numPr>
                <w:ilvl w:val="0"/>
                <w:numId w:val="2"/>
              </w:numPr>
              <w:spacing w:before="30" w:after="30"/>
            </w:pPr>
            <w:r>
              <w:rPr>
                <w:rFonts w:ascii="Arial" w:cs="Arial" w:eastAsia="Arial" w:hAnsi="Arial"/>
                <w:i/>
                <w:iCs/>
                <w:color w:val="C0392B"/>
                <w:sz w:val="20"/>
                <w:szCs w:val="20"/>
              </w:rPr>
              <w:t xml:space="preserve">In today's fast-moving environment...</w:t>
            </w:r>
          </w:p>
        </w:tc>
        <w:tc>
          <w:tcPr>
            <w:tcW w:type="dxa" w:w="4680"/>
            <w:tcBorders>
              <w:top w:val="single" w:color="D5D8DC" w:sz="1"/>
              <w:left w:val="single" w:color="D5D8DC" w:sz="1"/>
              <w:bottom w:val="single" w:color="D5D8DC" w:sz="1"/>
              <w:right w:val="single" w:color="D5D8DC" w:sz="1"/>
            </w:tcBorders>
            <w:shd w:fill="EAFAF1" w:val="clear"/>
            <w:tcMar>
              <w:top w:type="dxa" w:w="120"/>
              <w:left w:type="dxa" w:w="180"/>
              <w:bottom w:type="dxa" w:w="120"/>
              <w:right w:type="dxa" w:w="180"/>
            </w:tcMar>
          </w:tcPr>
          <w:p>
            <w:r>
              <w:rPr>
                <w:rFonts w:ascii="Arial" w:cs="Arial" w:eastAsia="Arial" w:hAnsi="Arial"/>
                <w:b/>
                <w:bCs/>
                <w:color w:val="1E8449"/>
                <w:sz w:val="22"/>
                <w:szCs w:val="22"/>
              </w:rPr>
              <w:t xml:space="preserve">Write this instead</w:t>
            </w:r>
          </w:p>
          <w:p>
            <w:pPr>
              <w:spacing w:before="60"/>
            </w:pPr>
            <w:r>
              <w:t xml:space="preserve"/>
            </w:r>
          </w:p>
          <w:p>
            <w:pPr>
              <w:pStyle w:val="ListParagraph"/>
              <w:numPr>
                <w:ilvl w:val="0"/>
                <w:numId w:val="2"/>
              </w:numPr>
              <w:spacing w:before="30" w:after="30"/>
            </w:pPr>
            <w:r>
              <w:rPr>
                <w:rFonts w:ascii="Arial" w:cs="Arial" w:eastAsia="Arial" w:hAnsi="Arial"/>
                <w:color w:val="1E8449"/>
                <w:sz w:val="20"/>
                <w:szCs w:val="20"/>
              </w:rPr>
              <w:t xml:space="preserve">[Just say the thing directly]</w:t>
            </w:r>
          </w:p>
          <w:p>
            <w:pPr>
              <w:pStyle w:val="ListParagraph"/>
              <w:numPr>
                <w:ilvl w:val="0"/>
                <w:numId w:val="2"/>
              </w:numPr>
              <w:spacing w:before="30" w:after="30"/>
            </w:pPr>
            <w:r>
              <w:rPr>
                <w:rFonts w:ascii="Arial" w:cs="Arial" w:eastAsia="Arial" w:hAnsi="Arial"/>
                <w:color w:val="1E8449"/>
                <w:sz w:val="20"/>
                <w:szCs w:val="20"/>
              </w:rPr>
              <w:t xml:space="preserve">[Start a new paragraph with the point]</w:t>
            </w:r>
          </w:p>
          <w:p>
            <w:pPr>
              <w:pStyle w:val="ListParagraph"/>
              <w:numPr>
                <w:ilvl w:val="0"/>
                <w:numId w:val="2"/>
              </w:numPr>
              <w:spacing w:before="30" w:after="30"/>
            </w:pPr>
            <w:r>
              <w:rPr>
                <w:rFonts w:ascii="Arial" w:cs="Arial" w:eastAsia="Arial" w:hAnsi="Arial"/>
                <w:color w:val="1E8449"/>
                <w:sz w:val="20"/>
                <w:szCs w:val="20"/>
              </w:rPr>
              <w:t xml:space="preserve">[End with 'what to watch']</w:t>
            </w:r>
          </w:p>
          <w:p>
            <w:pPr>
              <w:pStyle w:val="ListParagraph"/>
              <w:numPr>
                <w:ilvl w:val="0"/>
                <w:numId w:val="2"/>
              </w:numPr>
              <w:spacing w:before="30" w:after="30"/>
            </w:pPr>
            <w:r>
              <w:rPr>
                <w:rFonts w:ascii="Arial" w:cs="Arial" w:eastAsia="Arial" w:hAnsi="Arial"/>
                <w:color w:val="1E8449"/>
                <w:sz w:val="20"/>
                <w:szCs w:val="20"/>
              </w:rPr>
              <w:t xml:space="preserve">[State only what the data shows]</w:t>
            </w:r>
          </w:p>
          <w:p>
            <w:pPr>
              <w:pStyle w:val="ListParagraph"/>
              <w:numPr>
                <w:ilvl w:val="0"/>
                <w:numId w:val="2"/>
              </w:numPr>
              <w:spacing w:before="30" w:after="30"/>
            </w:pPr>
            <w:r>
              <w:rPr>
                <w:rFonts w:ascii="Arial" w:cs="Arial" w:eastAsia="Arial" w:hAnsi="Arial"/>
                <w:color w:val="1E8449"/>
                <w:sz w:val="20"/>
                <w:szCs w:val="20"/>
              </w:rPr>
              <w:t xml:space="preserve">[Start a new sentence]</w:t>
            </w:r>
          </w:p>
          <w:p>
            <w:pPr>
              <w:pStyle w:val="ListParagraph"/>
              <w:numPr>
                <w:ilvl w:val="0"/>
                <w:numId w:val="2"/>
              </w:numPr>
              <w:spacing w:before="30" w:after="30"/>
            </w:pPr>
            <w:r>
              <w:rPr>
                <w:rFonts w:ascii="Arial" w:cs="Arial" w:eastAsia="Arial" w:hAnsi="Arial"/>
                <w:color w:val="1E8449"/>
                <w:sz w:val="20"/>
                <w:szCs w:val="20"/>
              </w:rPr>
              <w:t xml:space="preserve">The RBA held rates</w:t>
            </w:r>
          </w:p>
          <w:p>
            <w:pPr>
              <w:pStyle w:val="ListParagraph"/>
              <w:numPr>
                <w:ilvl w:val="0"/>
                <w:numId w:val="2"/>
              </w:numPr>
              <w:spacing w:before="30" w:after="30"/>
            </w:pPr>
            <w:r>
              <w:rPr>
                <w:rFonts w:ascii="Arial" w:cs="Arial" w:eastAsia="Arial" w:hAnsi="Arial"/>
                <w:color w:val="1E8449"/>
                <w:sz w:val="20"/>
                <w:szCs w:val="20"/>
              </w:rPr>
              <w:t xml:space="preserve">[Name the decision-maker as subject]</w:t>
            </w:r>
          </w:p>
          <w:p>
            <w:pPr>
              <w:pStyle w:val="ListParagraph"/>
              <w:numPr>
                <w:ilvl w:val="0"/>
                <w:numId w:val="2"/>
              </w:numPr>
              <w:spacing w:before="30" w:after="30"/>
            </w:pPr>
            <w:r>
              <w:rPr>
                <w:rFonts w:ascii="Arial" w:cs="Arial" w:eastAsia="Arial" w:hAnsi="Arial"/>
                <w:color w:val="1E8449"/>
                <w:sz w:val="20"/>
                <w:szCs w:val="20"/>
              </w:rPr>
              <w:t xml:space="preserve">[Name the expert and the publication]</w:t>
            </w:r>
          </w:p>
          <w:p>
            <w:pPr>
              <w:pStyle w:val="ListParagraph"/>
              <w:numPr>
                <w:ilvl w:val="0"/>
                <w:numId w:val="2"/>
              </w:numPr>
              <w:spacing w:before="30" w:after="30"/>
            </w:pPr>
            <w:r>
              <w:rPr>
                <w:rFonts w:ascii="Arial" w:cs="Arial" w:eastAsia="Arial" w:hAnsi="Arial"/>
                <w:color w:val="1E8449"/>
                <w:sz w:val="20"/>
                <w:szCs w:val="20"/>
              </w:rPr>
              <w:t xml:space="preserve">The next decision will depend on X and Y</w:t>
            </w:r>
          </w:p>
          <w:p>
            <w:pPr>
              <w:pStyle w:val="ListParagraph"/>
              <w:numPr>
                <w:ilvl w:val="0"/>
                <w:numId w:val="2"/>
              </w:numPr>
              <w:spacing w:before="30" w:after="30"/>
            </w:pPr>
            <w:r>
              <w:rPr>
                <w:rFonts w:ascii="Arial" w:cs="Arial" w:eastAsia="Arial" w:hAnsi="Arial"/>
                <w:color w:val="1E8449"/>
                <w:sz w:val="20"/>
                <w:szCs w:val="20"/>
              </w:rPr>
              <w:t xml:space="preserve">[Lead with the specific fact]</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Opening Lines — The Hook</w:t>
      </w:r>
    </w:p>
    <w:p>
      <w:pPr>
        <w:spacing w:before="60" w:after="60"/>
      </w:pPr>
      <w:r>
        <w:rPr>
          <w:rFonts w:ascii="Arial" w:cs="Arial" w:eastAsia="Arial" w:hAnsi="Arial"/>
          <w:color w:val="2C3E50"/>
          <w:sz w:val="22"/>
          <w:szCs w:val="22"/>
        </w:rPr>
        <w:t xml:space="preserve">The first sentence determines whether the reader continues. The hook should do one of three things:</w:t>
      </w:r>
    </w:p>
    <w:p>
      <w:pPr>
        <w:spacing w:before="60"/>
      </w:pPr>
      <w:r>
        <w:t xml:space="preserve"/>
      </w:r>
    </w:p>
    <w:p>
      <w:pPr>
        <w:pStyle w:val="ListParagraph"/>
        <w:numPr>
          <w:ilvl w:val="0"/>
          <w:numId w:val="2"/>
        </w:numPr>
        <w:spacing w:before="40" w:after="40"/>
      </w:pPr>
      <w:r>
        <w:rPr>
          <w:rFonts w:ascii="Arial" w:cs="Arial" w:eastAsia="Arial" w:hAnsi="Arial"/>
          <w:color w:val="2C3E50"/>
          <w:sz w:val="22"/>
          <w:szCs w:val="22"/>
        </w:rPr>
        <w:t xml:space="preserve">Put the event in unexpected context — "On the surface, this looks like X. But it's really about Y."</w:t>
      </w:r>
    </w:p>
    <w:p>
      <w:pPr>
        <w:pStyle w:val="ListParagraph"/>
        <w:numPr>
          <w:ilvl w:val="0"/>
          <w:numId w:val="2"/>
        </w:numPr>
        <w:spacing w:before="40" w:after="40"/>
      </w:pPr>
      <w:r>
        <w:rPr>
          <w:rFonts w:ascii="Arial" w:cs="Arial" w:eastAsia="Arial" w:hAnsi="Arial"/>
          <w:color w:val="2C3E50"/>
          <w:sz w:val="22"/>
          <w:szCs w:val="22"/>
        </w:rPr>
        <w:t xml:space="preserve">State a tension directly — "The RBA is trying to do two things that don't go together."</w:t>
      </w:r>
    </w:p>
    <w:p>
      <w:pPr>
        <w:pStyle w:val="ListParagraph"/>
        <w:numPr>
          <w:ilvl w:val="0"/>
          <w:numId w:val="2"/>
        </w:numPr>
        <w:spacing w:before="40" w:after="40"/>
      </w:pPr>
      <w:r>
        <w:rPr>
          <w:rFonts w:ascii="Arial" w:cs="Arial" w:eastAsia="Arial" w:hAnsi="Arial"/>
          <w:color w:val="2C3E50"/>
          <w:sz w:val="22"/>
          <w:szCs w:val="22"/>
        </w:rPr>
        <w:t xml:space="preserve">Name a paradox — "Australia's housing shortage is getting worse at the same time approvals are rising."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40"/>
              <w:left w:type="dxa" w:w="220"/>
              <w:bottom w:type="dxa" w:w="140"/>
              <w:right w:type="dxa" w:w="220"/>
            </w:tcMar>
          </w:tcPr>
          <w:p>
            <w:r>
              <w:rPr>
                <w:rFonts w:ascii="Arial" w:cs="Arial" w:eastAsia="Arial" w:hAnsi="Arial"/>
                <w:b/>
                <w:bCs/>
                <w:i/>
                <w:iCs/>
                <w:color w:val="7D6608"/>
                <w:sz w:val="22"/>
                <w:szCs w:val="22"/>
              </w:rPr>
              <w:t xml:space="preserve">Never start with: 'On [date], [company] announced...' — That's a news wire. Not an explainer.</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Closing Lines — What to Watch</w:t>
      </w:r>
    </w:p>
    <w:p>
      <w:pPr>
        <w:spacing w:before="60" w:after="60"/>
      </w:pPr>
      <w:r>
        <w:rPr>
          <w:rFonts w:ascii="Arial" w:cs="Arial" w:eastAsia="Arial" w:hAnsi="Arial"/>
          <w:color w:val="2C3E50"/>
          <w:sz w:val="22"/>
          <w:szCs w:val="22"/>
        </w:rPr>
        <w:t xml:space="preserve">Every Double Click ends with a forward-looking paragraph. Not a summary. Not a conclusion. A specific signal that tells the reader what event or data point will reveal what happens next.</w:t>
      </w:r>
    </w:p>
    <w:p>
      <w:pPr>
        <w:spacing w:before="60"/>
      </w:pPr>
      <w:r>
        <w:t xml:space="preserve"/>
      </w:r>
    </w:p>
    <w:p>
      <w:pPr>
        <w:pStyle w:val="ListParagraph"/>
        <w:numPr>
          <w:ilvl w:val="0"/>
          <w:numId w:val="2"/>
        </w:numPr>
        <w:spacing w:before="40" w:after="40"/>
      </w:pPr>
      <w:r>
        <w:rPr>
          <w:rFonts w:ascii="Arial" w:cs="Arial" w:eastAsia="Arial" w:hAnsi="Arial"/>
          <w:color w:val="2C3E50"/>
          <w:sz w:val="22"/>
          <w:szCs w:val="22"/>
        </w:rPr>
        <w:t xml:space="preserve">"The next CPI print lands in three weeks. If it comes in above 3.5%, the case for a rate cut this year disappears almost entirely."</w:t>
      </w:r>
    </w:p>
    <w:p>
      <w:pPr>
        <w:pStyle w:val="ListParagraph"/>
        <w:numPr>
          <w:ilvl w:val="0"/>
          <w:numId w:val="2"/>
        </w:numPr>
        <w:spacing w:before="40" w:after="40"/>
      </w:pPr>
      <w:r>
        <w:rPr>
          <w:rFonts w:ascii="Arial" w:cs="Arial" w:eastAsia="Arial" w:hAnsi="Arial"/>
          <w:color w:val="2C3E50"/>
          <w:sz w:val="22"/>
          <w:szCs w:val="22"/>
        </w:rPr>
        <w:t xml:space="preserve">"Watch what BHP says in its quarterly update. If they flag any slowdown in Chinese demand for iron ore, mining stocks will reprice quickly."</w:t>
      </w:r>
    </w:p>
    <w:p>
      <w:pPr>
        <w:pStyle w:val="ListParagraph"/>
        <w:numPr>
          <w:ilvl w:val="0"/>
          <w:numId w:val="2"/>
        </w:numPr>
        <w:spacing w:before="40" w:after="40"/>
      </w:pPr>
      <w:r>
        <w:rPr>
          <w:rFonts w:ascii="Arial" w:cs="Arial" w:eastAsia="Arial" w:hAnsi="Arial"/>
          <w:color w:val="2C3E50"/>
          <w:sz w:val="22"/>
          <w:szCs w:val="22"/>
        </w:rPr>
        <w:t xml:space="preserve">"The government has until August to respond to the housing affordability review. What they do — or don't do — will tell you a lot about where property policy is heading for the next three years."</w:t>
      </w:r>
    </w:p>
    <w:p>
      <w:pPr>
        <w:spacing w:before="120"/>
      </w:pPr>
      <w:r>
        <w:t xml:space="preserve"/>
      </w:r>
    </w:p>
    <w:p>
      <w:pPr>
        <w:pBdr>
          <w:bottom w:val="single" w:color="D5D8DC" w:sz="6" w:space="1"/>
        </w:pBdr>
        <w:spacing w:before="240" w:after="240"/>
      </w:pPr>
      <w:r>
        <w:t xml:space="preserve"/>
      </w:r>
    </w:p>
    <w:p>
      <w:pPr>
        <w:pStyle w:val="Heading1"/>
        <w:spacing w:before="400" w:after="140"/>
      </w:pPr>
      <w:r>
        <w:rPr>
          <w:rFonts w:ascii="Arial" w:cs="Arial" w:eastAsia="Arial" w:hAnsi="Arial"/>
          <w:b/>
          <w:bCs/>
          <w:color w:val="1B4F8A"/>
          <w:sz w:val="34"/>
          <w:szCs w:val="34"/>
        </w:rPr>
        <w:t xml:space="preserve">3. Narrative Structure by Tier</w:t>
      </w:r>
    </w:p>
    <w:p>
      <w:pPr>
        <w:spacing w:before="60" w:after="60"/>
      </w:pPr>
      <w:r>
        <w:rPr>
          <w:rFonts w:ascii="Arial" w:cs="Arial" w:eastAsia="Arial" w:hAnsi="Arial"/>
          <w:color w:val="2C3E50"/>
          <w:sz w:val="22"/>
          <w:szCs w:val="22"/>
        </w:rPr>
        <w:t xml:space="preserve">The structure of each Double Click depends on its tier. Higher tiers get a fuller narrative arc. Lower tiers get clean, factual expansion. The voice stays consistent — only the depth changes.</w:t>
      </w:r>
    </w:p>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Tier 1 — Deep Narrative (500–600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40"/>
              <w:left w:type="dxa" w:w="220"/>
              <w:bottom w:type="dxa" w:w="140"/>
              <w:right w:type="dxa" w:w="220"/>
            </w:tcMar>
          </w:tcPr>
          <w:p>
            <w:r>
              <w:rPr>
                <w:rFonts w:ascii="Arial" w:cs="Arial" w:eastAsia="Arial" w:hAnsi="Arial"/>
                <w:b/>
                <w:bCs/>
                <w:i/>
                <w:iCs/>
                <w:color w:val="1B4F8A"/>
                <w:sz w:val="22"/>
                <w:szCs w:val="22"/>
              </w:rPr>
              <w:t xml:space="preserve">Trigger: OzScore in top 20%. M&amp;A, RBA decisions, federal budget, major policy, 3+ sources.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c>
          <w:tcPr>
            <w:tcW w:type="dxa" w:w="24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49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c>
          <w:tcPr>
            <w:tcW w:type="dxa" w:w="20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Approx. Length</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Hook</w:t>
            </w:r>
          </w:p>
        </w:tc>
        <w:tc>
          <w:tcPr>
            <w:tcW w:type="dxa" w:w="4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Opens with the event but immediately zooms out to the bigger picture. Creates a question in the reader's mind.</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2–3 sentences</w:t>
            </w:r>
          </w:p>
        </w:tc>
      </w:tr>
      <w:tr>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What happened</w:t>
            </w:r>
          </w:p>
        </w:tc>
        <w:tc>
          <w:tcPr>
            <w:tcW w:type="dxa" w:w="4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The core facts, cleanly stated. Numbers, dates, decisions. No colour.</w:t>
            </w:r>
          </w:p>
        </w:tc>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1 paragraph</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Why they did it</w:t>
            </w:r>
          </w:p>
        </w:tc>
        <w:tc>
          <w:tcPr>
            <w:tcW w:type="dxa" w:w="4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The motivation and logic of the main actor. What pressures were they under? What were they trying to solve?</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1–2 paragraphs</w:t>
            </w:r>
          </w:p>
        </w:tc>
      </w:tr>
      <w:tr>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The other side</w:t>
            </w:r>
          </w:p>
        </w:tc>
        <w:tc>
          <w:tcPr>
            <w:tcW w:type="dxa" w:w="4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The counterparty, the market, the sector perspective. What does this mean for the people on the other side of this decision?</w:t>
            </w:r>
          </w:p>
        </w:tc>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1–2 paragraphs</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The deeper pattern</w:t>
            </w:r>
          </w:p>
        </w:tc>
        <w:tc>
          <w:tcPr>
            <w:tcW w:type="dxa" w:w="4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What does this tell us about a broader trend in Australia's economy, markets, or policy environment?</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1 paragraph</w:t>
            </w:r>
          </w:p>
        </w:tc>
      </w:tr>
      <w:tr>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Australian impact</w:t>
            </w:r>
          </w:p>
        </w:tc>
        <w:tc>
          <w:tcPr>
            <w:tcW w:type="dxa" w:w="4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How does this land for workers, investors, super fund holders, or consumers?</w:t>
            </w:r>
          </w:p>
        </w:tc>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1 paragraph</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What to watch</w:t>
            </w:r>
          </w:p>
        </w:tc>
        <w:tc>
          <w:tcPr>
            <w:tcW w:type="dxa" w:w="4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One or two specific signals. Dates, data releases, decision points.</w:t>
            </w:r>
          </w:p>
        </w:tc>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2–3 sentences</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Tier 2 — Context (300–400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40"/>
              <w:left w:type="dxa" w:w="220"/>
              <w:bottom w:type="dxa" w:w="140"/>
              <w:right w:type="dxa" w:w="220"/>
            </w:tcMar>
          </w:tcPr>
          <w:p>
            <w:r>
              <w:rPr>
                <w:rFonts w:ascii="Arial" w:cs="Arial" w:eastAsia="Arial" w:hAnsi="Arial"/>
                <w:b/>
                <w:bCs/>
                <w:i/>
                <w:iCs/>
                <w:color w:val="1B4F8A"/>
                <w:sz w:val="22"/>
                <w:szCs w:val="22"/>
              </w:rPr>
              <w:t xml:space="preserve">Trigger: Earnings, sector movements, mid-level policy, 2 sources.</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69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Hook + so what</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One sentence on the news, immediately followed by one sentence on why it matters. Combined.</w:t>
            </w:r>
          </w:p>
        </w:tc>
      </w:tr>
      <w:tr>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Key context</w:t>
            </w:r>
          </w:p>
        </w:tc>
        <w:tc>
          <w:tcPr>
            <w:tcW w:type="dxa" w:w="6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The two or three facts a reader needs to understand why this happened. Background only if essential.</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Australian impact</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Who does this affect, and specifically how?</w:t>
            </w:r>
          </w:p>
        </w:tc>
      </w:tr>
      <w:tr>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What to watch</w:t>
            </w:r>
          </w:p>
        </w:tc>
        <w:tc>
          <w:tcPr>
            <w:tcW w:type="dxa" w:w="6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One forward-looking signal.</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Tier 3 — Minimal (150–200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2FB" w:val="clear"/>
            <w:tcMar>
              <w:top w:type="dxa" w:w="140"/>
              <w:left w:type="dxa" w:w="220"/>
              <w:bottom w:type="dxa" w:w="140"/>
              <w:right w:type="dxa" w:w="220"/>
            </w:tcMar>
          </w:tcPr>
          <w:p>
            <w:r>
              <w:rPr>
                <w:rFonts w:ascii="Arial" w:cs="Arial" w:eastAsia="Arial" w:hAnsi="Arial"/>
                <w:b/>
                <w:bCs/>
                <w:i/>
                <w:iCs/>
                <w:color w:val="1B4F8A"/>
                <w:sz w:val="22"/>
                <w:szCs w:val="22"/>
              </w:rPr>
              <w:t xml:space="preserve">Trigger: Minor updates, single source, low impact. Factual expansion only — no narrative arc.</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69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What happened</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Direct statement of the news in one or two sentences.</w:t>
            </w:r>
          </w:p>
        </w:tc>
      </w:tr>
      <w:tr>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Added context</w:t>
            </w:r>
          </w:p>
        </w:tc>
        <w:tc>
          <w:tcPr>
            <w:tcW w:type="dxa" w:w="6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One factual detail that the short card did not include. Numbers, names, background.</w:t>
            </w:r>
          </w:p>
        </w:tc>
      </w:tr>
      <w:tr>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Australian relevance</w:t>
            </w:r>
          </w:p>
        </w:tc>
        <w:tc>
          <w:tcPr>
            <w:tcW w:type="dxa" w:w="6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One sentence connecting this to an Australian reader's life or work.</w:t>
            </w:r>
          </w:p>
        </w:tc>
      </w:tr>
    </w:tbl>
    <w:p>
      <w:pPr>
        <w:spacing w:before="120"/>
      </w:pPr>
      <w:r>
        <w:t xml:space="preserve"/>
      </w:r>
    </w:p>
    <w:p>
      <w:pPr>
        <w:pBdr>
          <w:bottom w:val="single" w:color="D5D8DC" w:sz="6" w:space="1"/>
        </w:pBdr>
        <w:spacing w:before="240" w:after="240"/>
      </w:pPr>
      <w:r>
        <w:t xml:space="preserve"/>
      </w:r>
    </w:p>
    <w:p>
      <w:pPr>
        <w:pStyle w:val="Heading1"/>
        <w:spacing w:before="400" w:after="140"/>
      </w:pPr>
      <w:r>
        <w:rPr>
          <w:rFonts w:ascii="Arial" w:cs="Arial" w:eastAsia="Arial" w:hAnsi="Arial"/>
          <w:b/>
          <w:bCs/>
          <w:color w:val="1B4F8A"/>
          <w:sz w:val="34"/>
          <w:szCs w:val="34"/>
        </w:rPr>
        <w:t xml:space="preserve">4. Sample Articles</w:t>
      </w:r>
    </w:p>
    <w:p>
      <w:pPr>
        <w:spacing w:before="60" w:after="60"/>
      </w:pPr>
      <w:r>
        <w:rPr>
          <w:rFonts w:ascii="Arial" w:cs="Arial" w:eastAsia="Arial" w:hAnsi="Arial"/>
          <w:color w:val="2C3E50"/>
          <w:sz w:val="22"/>
          <w:szCs w:val="22"/>
        </w:rPr>
        <w:t xml:space="preserve">The following examples show the Double Click voice and structure in practice across all three tiers, using representative Australian business and financial news stories.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20"/>
              <w:bottom w:type="dxa" w:w="120"/>
              <w:right w:type="dxa" w:w="220"/>
            </w:tcMar>
          </w:tcPr>
          <w:p>
            <w:r>
              <w:rPr>
                <w:rFonts w:ascii="Arial" w:cs="Arial" w:eastAsia="Arial" w:hAnsi="Arial"/>
                <w:b/>
                <w:bCs/>
                <w:color w:val="FFFFFF"/>
                <w:sz w:val="20"/>
                <w:szCs w:val="20"/>
              </w:rPr>
              <w:t xml:space="preserve">Tier 1  </w:t>
            </w:r>
            <w:r>
              <w:rPr>
                <w:rFonts w:ascii="Arial" w:cs="Arial" w:eastAsia="Arial" w:hAnsi="Arial"/>
                <w:color w:val="BDC3C7"/>
                <w:sz w:val="18"/>
                <w:szCs w:val="18"/>
              </w:rPr>
              <w:t xml:space="preserve">~530 words</w:t>
            </w:r>
          </w:p>
          <w:p>
            <w:pPr>
              <w:spacing w:before="40" w:after="0"/>
            </w:pPr>
            <w:r>
              <w:rPr>
                <w:rFonts w:ascii="Arial" w:cs="Arial" w:eastAsia="Arial" w:hAnsi="Arial"/>
                <w:b/>
                <w:bCs/>
                <w:color w:val="FFFFFF"/>
                <w:sz w:val="24"/>
                <w:szCs w:val="24"/>
              </w:rPr>
              <w:t xml:space="preserve">The RBA held rates again. Here's what they're actually waiting for.</w:t>
            </w:r>
          </w:p>
        </w:tc>
      </w:tr>
      <w:tr>
        <w:tc>
          <w:tcPr>
            <w:tcW w:type="dxa" w:w="9360"/>
            <w:tcBorders>
              <w:top w:val="none" w:color="FFFFFF" w:sz="0"/>
              <w:left w:val="none" w:color="FFFFFF" w:sz="0"/>
              <w:bottom w:val="none" w:color="FFFFFF" w:sz="0"/>
              <w:right w:val="none" w:color="FFFFFF" w:sz="0"/>
            </w:tcBorders>
            <w:shd w:fill="FEF9E7" w:val="clear"/>
            <w:tcMar>
              <w:top w:type="dxa" w:w="100"/>
              <w:left w:type="dxa" w:w="220"/>
              <w:bottom w:type="dxa" w:w="100"/>
              <w:right w:type="dxa" w:w="220"/>
            </w:tcMar>
          </w:tcPr>
          <w:p>
            <w:r>
              <w:rPr>
                <w:rFonts w:ascii="Arial" w:cs="Arial" w:eastAsia="Arial" w:hAnsi="Arial"/>
                <w:b/>
                <w:bCs/>
                <w:color w:val="7D6608"/>
                <w:sz w:val="20"/>
                <w:szCs w:val="20"/>
              </w:rPr>
              <w:t xml:space="preserve">Why it matters:  </w:t>
            </w:r>
            <w:r>
              <w:rPr>
                <w:rFonts w:ascii="Arial" w:cs="Arial" w:eastAsia="Arial" w:hAnsi="Arial"/>
                <w:color w:val="7D6608"/>
                <w:sz w:val="20"/>
                <w:szCs w:val="20"/>
              </w:rPr>
              <w:t xml:space="preserve">Mortgage costs stay elevated for longer. The RBA's next move depends on data landing over the next 6 weeks.</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Reserve Bank of Australia has left the cash rate on hold at 4.10%, citing inflation that is still running above target. On the surface, this might look like a non-decision. But it tells you a lot about where the RBA thinks the economy is sitting — and where it's heading.</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Here's the thing. Inflation in Australia has been falling. But "falling" and "fallen" are two very different things. The RBA's target band is 2–3%. We're still sitting above that. And the board wants to see more than a trend. It wants to see confirmation.</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So why does this matter to you? Because the cash rate is the anchor for almost every borrowing cost in the country. Your mortgage, your business loan, your credit card — all of them follow the cash rate, directly or indirectly. When the RBA holds, those costs hold too.</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There's also a bigger story underneath this. The RBA is walking a narrow path. Cut too early, and inflation could re-accelerate — especially with labour costs still elevated and the global price of goods remaining unpredictable. Hold too long, and you slow down an economy that's already showing signs of consumer stress. Retail spending is softening. Mortgage arrears are ticking up. Businesses are getting more cautious about hiring.</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RBA is essentially betting that the economy can absorb the pressure long enough for inflation to land where it wants it. Whether that bet pays off depends on things largely outside its control — what happens to oil prices, what China's economy does, and whether wage growth in Australia stabilises or surges.</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next decision is in six weeks. The market is pricing in one cut by mid-year. But markets have been wrong about this before. What to watch: the next CPI print and the Q1 jobs numbers. Those two data points will likely decide whether the RBA moves — or holds again.</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18D" w:val="clear"/>
            <w:tcMar>
              <w:top w:type="dxa" w:w="120"/>
              <w:left w:type="dxa" w:w="220"/>
              <w:bottom w:type="dxa" w:w="120"/>
              <w:right w:type="dxa" w:w="220"/>
            </w:tcMar>
          </w:tcPr>
          <w:p>
            <w:r>
              <w:rPr>
                <w:rFonts w:ascii="Arial" w:cs="Arial" w:eastAsia="Arial" w:hAnsi="Arial"/>
                <w:b/>
                <w:bCs/>
                <w:color w:val="FFFFFF"/>
                <w:sz w:val="20"/>
                <w:szCs w:val="20"/>
              </w:rPr>
              <w:t xml:space="preserve">Tier 2  </w:t>
            </w:r>
            <w:r>
              <w:rPr>
                <w:rFonts w:ascii="Arial" w:cs="Arial" w:eastAsia="Arial" w:hAnsi="Arial"/>
                <w:color w:val="BDC3C7"/>
                <w:sz w:val="18"/>
                <w:szCs w:val="18"/>
              </w:rPr>
              <w:t xml:space="preserve">~380 words</w:t>
            </w:r>
          </w:p>
          <w:p>
            <w:pPr>
              <w:spacing w:before="40" w:after="0"/>
            </w:pPr>
            <w:r>
              <w:rPr>
                <w:rFonts w:ascii="Arial" w:cs="Arial" w:eastAsia="Arial" w:hAnsi="Arial"/>
                <w:b/>
                <w:bCs/>
                <w:color w:val="FFFFFF"/>
                <w:sz w:val="24"/>
                <w:szCs w:val="24"/>
              </w:rPr>
              <w:t xml:space="preserve">ASX falls 1.4% as global growth fears spook investors</w:t>
            </w:r>
          </w:p>
        </w:tc>
      </w:tr>
      <w:tr>
        <w:tc>
          <w:tcPr>
            <w:tcW w:type="dxa" w:w="9360"/>
            <w:tcBorders>
              <w:top w:val="none" w:color="FFFFFF" w:sz="0"/>
              <w:left w:val="none" w:color="FFFFFF" w:sz="0"/>
              <w:bottom w:val="none" w:color="FFFFFF" w:sz="0"/>
              <w:right w:val="none" w:color="FFFFFF" w:sz="0"/>
            </w:tcBorders>
            <w:shd w:fill="FEF9E7" w:val="clear"/>
            <w:tcMar>
              <w:top w:type="dxa" w:w="100"/>
              <w:left w:type="dxa" w:w="220"/>
              <w:bottom w:type="dxa" w:w="100"/>
              <w:right w:type="dxa" w:w="220"/>
            </w:tcMar>
          </w:tcPr>
          <w:p>
            <w:r>
              <w:rPr>
                <w:rFonts w:ascii="Arial" w:cs="Arial" w:eastAsia="Arial" w:hAnsi="Arial"/>
                <w:b/>
                <w:bCs/>
                <w:color w:val="7D6608"/>
                <w:sz w:val="20"/>
                <w:szCs w:val="20"/>
              </w:rPr>
              <w:t xml:space="preserve">Why it matters:  </w:t>
            </w:r>
            <w:r>
              <w:rPr>
                <w:rFonts w:ascii="Arial" w:cs="Arial" w:eastAsia="Arial" w:hAnsi="Arial"/>
                <w:color w:val="7D6608"/>
                <w:sz w:val="20"/>
                <w:szCs w:val="20"/>
              </w:rPr>
              <w:t xml:space="preserve">Super funds are exposed. A sustained global slowdown would hit Australian equities harder than most.</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ASX 200 fell 1.4% on Tuesday, dragged lower by falls in the big banks and mining stocks. But the number itself matters less than the reason behind it — and the reason points to something beyond Australia's shores.</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Overnight, US markets took a hit after new data showed that American manufacturing activity contracted more sharply than expected. That raised fresh concerns that the global economy may be slowing faster than central banks anticipated.</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For Australia, the transmission is fairly direct. We're a resource-heavy economy. When global demand for iron ore, coal and copper softens, mining revenues fall — and the ASX follows. BHP, Rio Tinto and Fortescue all dropped between 1.8% and 2.3% on the day.</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banks fell for a slightly different reason. If rate cuts are being pushed out further because inflation is sticky globally, mortgage stress in Australia persists for longer. That's a headwind for bank earnings, and investors priced it in quickly.</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Your super fund is almost certainly exposed here. The average balanced fund holds around 25–30% in Australian equities. A single-day fall of this size doesn't change your retirement trajectory — but if global slowdown fears deepen, the pattern could repeat over weeks, not days.</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short version: this was a global growth fear day. Not a financial system scare. The distinction matters.</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18D" w:val="clear"/>
            <w:tcMar>
              <w:top w:type="dxa" w:w="120"/>
              <w:left w:type="dxa" w:w="220"/>
              <w:bottom w:type="dxa" w:w="120"/>
              <w:right w:type="dxa" w:w="220"/>
            </w:tcMar>
          </w:tcPr>
          <w:p>
            <w:r>
              <w:rPr>
                <w:rFonts w:ascii="Arial" w:cs="Arial" w:eastAsia="Arial" w:hAnsi="Arial"/>
                <w:b/>
                <w:bCs/>
                <w:color w:val="FFFFFF"/>
                <w:sz w:val="20"/>
                <w:szCs w:val="20"/>
              </w:rPr>
              <w:t xml:space="preserve">Tier 2  </w:t>
            </w:r>
            <w:r>
              <w:rPr>
                <w:rFonts w:ascii="Arial" w:cs="Arial" w:eastAsia="Arial" w:hAnsi="Arial"/>
                <w:color w:val="BDC3C7"/>
                <w:sz w:val="18"/>
                <w:szCs w:val="18"/>
              </w:rPr>
              <w:t xml:space="preserve">~390 words</w:t>
            </w:r>
          </w:p>
          <w:p>
            <w:pPr>
              <w:spacing w:before="40" w:after="0"/>
            </w:pPr>
            <w:r>
              <w:rPr>
                <w:rFonts w:ascii="Arial" w:cs="Arial" w:eastAsia="Arial" w:hAnsi="Arial"/>
                <w:b/>
                <w:bCs/>
                <w:color w:val="FFFFFF"/>
                <w:sz w:val="24"/>
                <w:szCs w:val="24"/>
              </w:rPr>
              <w:t xml:space="preserve">Property prices rise for the sixth straight month — but supply isn't catching up</w:t>
            </w:r>
          </w:p>
        </w:tc>
      </w:tr>
      <w:tr>
        <w:tc>
          <w:tcPr>
            <w:tcW w:type="dxa" w:w="9360"/>
            <w:tcBorders>
              <w:top w:val="none" w:color="FFFFFF" w:sz="0"/>
              <w:left w:val="none" w:color="FFFFFF" w:sz="0"/>
              <w:bottom w:val="none" w:color="FFFFFF" w:sz="0"/>
              <w:right w:val="none" w:color="FFFFFF" w:sz="0"/>
            </w:tcBorders>
            <w:shd w:fill="FEF9E7" w:val="clear"/>
            <w:tcMar>
              <w:top w:type="dxa" w:w="100"/>
              <w:left w:type="dxa" w:w="220"/>
              <w:bottom w:type="dxa" w:w="100"/>
              <w:right w:type="dxa" w:w="220"/>
            </w:tcMar>
          </w:tcPr>
          <w:p>
            <w:r>
              <w:rPr>
                <w:rFonts w:ascii="Arial" w:cs="Arial" w:eastAsia="Arial" w:hAnsi="Arial"/>
                <w:b/>
                <w:bCs/>
                <w:color w:val="7D6608"/>
                <w:sz w:val="20"/>
                <w:szCs w:val="20"/>
              </w:rPr>
              <w:t xml:space="preserve">Why it matters:  </w:t>
            </w:r>
            <w:r>
              <w:rPr>
                <w:rFonts w:ascii="Arial" w:cs="Arial" w:eastAsia="Arial" w:hAnsi="Arial"/>
                <w:color w:val="7D6608"/>
                <w:sz w:val="20"/>
                <w:szCs w:val="20"/>
              </w:rPr>
              <w:t xml:space="preserve">Anyone hoping prices would fall further before buying is watching the window narrow.</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Australian property prices rose 0.4% in February, the sixth consecutive monthly gain, according to CoreLogic. Sydney and Brisbane led the recovery. Perth, which had been outperforming the country, saw growth slow slightly.</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headline sounds like good news — if you own property. If you're trying to buy, it's a more complicated picture.</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Here's the underlying tension. Supply remains the core problem. We are building fewer homes than we need. Planning approvals are up slightly, but actual completions are lagging because construction costs remain elevated and the pipeline of projects is delayed. The government's target of 1.2 million new homes over five years is widely seen as aspirational rather than realistic at the current build rate.</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On the demand side, population growth continues to run ahead of housing supply. Net overseas migration hit a record high last year. That population — largely settling in Sydney, Melbourne and Brisbane — needs somewhere to live. Rental vacancy rates in those cities are under 2%, which means rents are rising, which in turn makes ownership look relatively attractive again despite elevated prices.</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wildcard is interest rates. If the RBA cuts later this year as markets expect, borrowing capacity improves and demand will likely accelerate. That means prices in undersupplied markets could move meaningfully higher before the supply side catches up.</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The broader point: this is a market being pulled in two directions simultaneously. Affordability is stretched. But the structural imbalance between supply and demand isn't going away quickly — and that's what's putting a floor under prices even in a high-rate environment.</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980B9" w:val="clear"/>
            <w:tcMar>
              <w:top w:type="dxa" w:w="120"/>
              <w:left w:type="dxa" w:w="220"/>
              <w:bottom w:type="dxa" w:w="120"/>
              <w:right w:type="dxa" w:w="220"/>
            </w:tcMar>
          </w:tcPr>
          <w:p>
            <w:r>
              <w:rPr>
                <w:rFonts w:ascii="Arial" w:cs="Arial" w:eastAsia="Arial" w:hAnsi="Arial"/>
                <w:b/>
                <w:bCs/>
                <w:color w:val="FFFFFF"/>
                <w:sz w:val="20"/>
                <w:szCs w:val="20"/>
              </w:rPr>
              <w:t xml:space="preserve">Tier 3  </w:t>
            </w:r>
            <w:r>
              <w:rPr>
                <w:rFonts w:ascii="Arial" w:cs="Arial" w:eastAsia="Arial" w:hAnsi="Arial"/>
                <w:color w:val="BDC3C7"/>
                <w:sz w:val="18"/>
                <w:szCs w:val="18"/>
              </w:rPr>
              <w:t xml:space="preserve">~180 words</w:t>
            </w:r>
          </w:p>
          <w:p>
            <w:pPr>
              <w:spacing w:before="40" w:after="0"/>
            </w:pPr>
            <w:r>
              <w:rPr>
                <w:rFonts w:ascii="Arial" w:cs="Arial" w:eastAsia="Arial" w:hAnsi="Arial"/>
                <w:b/>
                <w:bCs/>
                <w:color w:val="FFFFFF"/>
                <w:sz w:val="24"/>
                <w:szCs w:val="24"/>
              </w:rPr>
              <w:t xml:space="preserve">Canva cuts 150 roles, blaming AI-driven workflow shifts</w:t>
            </w:r>
          </w:p>
        </w:tc>
      </w:tr>
      <w:tr>
        <w:tc>
          <w:tcPr>
            <w:tcW w:type="dxa" w:w="9360"/>
            <w:tcBorders>
              <w:top w:val="none" w:color="FFFFFF" w:sz="0"/>
              <w:left w:val="none" w:color="FFFFFF" w:sz="0"/>
              <w:bottom w:val="none" w:color="FFFFFF" w:sz="0"/>
              <w:right w:val="none" w:color="FFFFFF" w:sz="0"/>
            </w:tcBorders>
            <w:shd w:fill="FEF9E7" w:val="clear"/>
            <w:tcMar>
              <w:top w:type="dxa" w:w="100"/>
              <w:left w:type="dxa" w:w="220"/>
              <w:bottom w:type="dxa" w:w="100"/>
              <w:right w:type="dxa" w:w="220"/>
            </w:tcMar>
          </w:tcPr>
          <w:p>
            <w:r>
              <w:rPr>
                <w:rFonts w:ascii="Arial" w:cs="Arial" w:eastAsia="Arial" w:hAnsi="Arial"/>
                <w:b/>
                <w:bCs/>
                <w:color w:val="7D6608"/>
                <w:sz w:val="20"/>
                <w:szCs w:val="20"/>
              </w:rPr>
              <w:t xml:space="preserve">Why it matters:  </w:t>
            </w:r>
            <w:r>
              <w:rPr>
                <w:rFonts w:ascii="Arial" w:cs="Arial" w:eastAsia="Arial" w:hAnsi="Arial"/>
                <w:color w:val="7D6608"/>
                <w:sz w:val="20"/>
                <w:szCs w:val="20"/>
              </w:rPr>
              <w:t xml:space="preserve">A signal of a wider pattern: tech companies are restructuring around what AI can now do.</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Canva has confirmed it will cut approximately 150 roles globally, mostly in its San Francisco office, as it restructures its operations around AI-driven workflows. The company said the changes reflect a shift in how work gets done internally, not a deterioration in its financial position.</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Canva remains one of Australia's most valuable private companies, last valued at around $26 billion. It is not under financial pressure — but it is, like most large software businesses right now, reconfiguring its workforce in response to what AI tooling can now do autonomously.</w:t>
            </w:r>
          </w:p>
        </w:tc>
      </w:tr>
      <w:tr>
        <w:tc>
          <w:tcPr>
            <w:tcW w:type="dxa" w:w="9360"/>
            <w:tcBorders>
              <w:top w:val="none" w:color="FFFFFF" w:sz="0"/>
              <w:left w:val="none" w:color="FFFFFF" w:sz="0"/>
              <w:bottom w:val="none" w:color="FFFFFF" w:sz="0"/>
              <w:right w:val="none" w:color="FFFFFF" w:sz="0"/>
            </w:tcBorders>
            <w:shd w:fill="EAF2FB" w:val="clear"/>
            <w:tcMar>
              <w:top w:type="dxa" w:w="80"/>
              <w:left w:type="dxa" w:w="220"/>
              <w:bottom w:type="dxa" w:w="80"/>
              <w:right w:type="dxa" w:w="220"/>
            </w:tcMar>
          </w:tcPr>
          <w:p>
            <w:pPr>
              <w:spacing w:before="40" w:after="40"/>
            </w:pPr>
            <w:r>
              <w:rPr>
                <w:rFonts w:ascii="Arial" w:cs="Arial" w:eastAsia="Arial" w:hAnsi="Arial"/>
                <w:color w:val="2C3E50"/>
                <w:sz w:val="20"/>
                <w:szCs w:val="20"/>
              </w:rPr>
              <w:t xml:space="preserve">For workers in product and engineering roles globally, this is a pattern worth watching. The argument from companies is straightforward: AI handles lower-complexity tasks, which means fewer people are needed in those roles. The counter-argument is that good people find ways to work with new tools rather than being replaced by them. Both things can be true simultaneously.</w:t>
            </w:r>
          </w:p>
        </w:tc>
      </w:tr>
    </w:tbl>
    <w:p>
      <w:pPr>
        <w:spacing w:before="120"/>
      </w:pPr>
      <w:r>
        <w:t xml:space="preserve"/>
      </w:r>
    </w:p>
    <w:p>
      <w:pPr>
        <w:pBdr>
          <w:bottom w:val="single" w:color="D5D8DC" w:sz="6" w:space="1"/>
        </w:pBdr>
        <w:spacing w:before="240" w:after="240"/>
      </w:pPr>
      <w:r>
        <w:t xml:space="preserve"/>
      </w:r>
    </w:p>
    <w:p>
      <w:pPr>
        <w:pStyle w:val="Heading1"/>
        <w:spacing w:before="400" w:after="140"/>
      </w:pPr>
      <w:r>
        <w:rPr>
          <w:rFonts w:ascii="Arial" w:cs="Arial" w:eastAsia="Arial" w:hAnsi="Arial"/>
          <w:b/>
          <w:bCs/>
          <w:color w:val="1B4F8A"/>
          <w:sz w:val="34"/>
          <w:szCs w:val="34"/>
        </w:rPr>
        <w:t xml:space="preserve">5. Backend Architecture — How the Double Click Gets Built</w:t>
      </w:r>
    </w:p>
    <w:p>
      <w:pPr>
        <w:spacing w:before="60" w:after="60"/>
      </w:pPr>
      <w:r>
        <w:rPr>
          <w:rFonts w:ascii="Arial" w:cs="Arial" w:eastAsia="Arial" w:hAnsi="Arial"/>
          <w:color w:val="2C3E50"/>
          <w:sz w:val="22"/>
          <w:szCs w:val="22"/>
        </w:rPr>
        <w:t xml:space="preserve">The Double Click is not written manually. It is generated by an LLM, guided by structured prompts and grounded in facts extracted from the story cluster. The editorial team reviews output before publication.</w:t>
      </w:r>
    </w:p>
    <w:p>
      <w:pPr>
        <w:spacing w:before="60"/>
      </w:pPr>
      <w:r>
        <w:t xml:space="preserve"/>
      </w:r>
    </w:p>
    <w:p>
      <w:pPr>
        <w:spacing w:before="60" w:after="60"/>
      </w:pPr>
      <w:r>
        <w:rPr>
          <w:rFonts w:ascii="Arial" w:cs="Arial" w:eastAsia="Arial" w:hAnsi="Arial"/>
          <w:color w:val="2C3E50"/>
          <w:sz w:val="22"/>
          <w:szCs w:val="22"/>
        </w:rPr>
        <w:t xml:space="preserve">The pipeline has four stages: fact extraction, tier classification, content generation, and editorial review.</w:t>
      </w:r>
    </w:p>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5.1 End-to-End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960"/>
        <w:gridCol w:w="1200"/>
        <w:gridCol w:w="700"/>
      </w:tblGrid>
      <w:tr>
        <w:tc>
          <w:tcPr>
            <w:tcW w:type="dxa" w:w="20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4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29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12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Who</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1. Fact Extraction</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Raw article cluster (2–5 articles)</w:t>
            </w:r>
          </w:p>
        </w:tc>
        <w:tc>
          <w:tcPr>
            <w:tcW w:type="dxa" w:w="2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Structured fact list with source flags</w:t>
            </w:r>
          </w:p>
        </w:tc>
        <w:tc>
          <w:tcPr>
            <w:tcW w:type="dxa" w:w="12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LLM (automated)</w:t>
            </w:r>
          </w:p>
        </w:tc>
      </w:tr>
      <w:tr>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2. Headline + Why It Matters</w:t>
            </w:r>
          </w:p>
        </w:tc>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Cluster summary + fact list</w:t>
            </w:r>
          </w:p>
        </w:tc>
        <w:tc>
          <w:tcPr>
            <w:tcW w:type="dxa" w:w="2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Headline (max 12 words) + Why it matters line</w:t>
            </w:r>
          </w:p>
        </w:tc>
        <w:tc>
          <w:tcPr>
            <w:tcW w:type="dxa" w:w="12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LLM (automated)</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3. Tier Assignment</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OzScore + source count + topic type</w:t>
            </w:r>
          </w:p>
        </w:tc>
        <w:tc>
          <w:tcPr>
            <w:tcW w:type="dxa" w:w="2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Tier 1 / 2 / 3 classification</w:t>
            </w:r>
          </w:p>
        </w:tc>
        <w:tc>
          <w:tcPr>
            <w:tcW w:type="dxa" w:w="12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Rule-based logic</w:t>
            </w:r>
          </w:p>
        </w:tc>
      </w:tr>
      <w:tr>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4. Explainer Generation</w:t>
            </w:r>
          </w:p>
        </w:tc>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Tier + fact list + system prompt</w:t>
            </w:r>
          </w:p>
        </w:tc>
        <w:tc>
          <w:tcPr>
            <w:tcW w:type="dxa" w:w="2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Draft Double Click explainer</w:t>
            </w:r>
          </w:p>
        </w:tc>
        <w:tc>
          <w:tcPr>
            <w:tcW w:type="dxa" w:w="12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LLM (automated)</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5. Editorial Review</w:t>
            </w:r>
          </w:p>
        </w:tc>
        <w:tc>
          <w:tcPr>
            <w:tcW w:type="dxa" w:w="24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Draft explainer + source articles</w:t>
            </w:r>
          </w:p>
        </w:tc>
        <w:tc>
          <w:tcPr>
            <w:tcW w:type="dxa" w:w="29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Approved / edited / rejected</w:t>
            </w:r>
          </w:p>
        </w:tc>
        <w:tc>
          <w:tcPr>
            <w:tcW w:type="dxa" w:w="12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Human editor</w:t>
            </w:r>
          </w:p>
        </w:tc>
      </w:tr>
      <w:tr>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6. Publish</w:t>
            </w:r>
          </w:p>
        </w:tc>
        <w:tc>
          <w:tcPr>
            <w:tcW w:type="dxa" w:w="24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Approved explainer + headline</w:t>
            </w:r>
          </w:p>
        </w:tc>
        <w:tc>
          <w:tcPr>
            <w:tcW w:type="dxa" w:w="29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Published Double Click</w:t>
            </w:r>
          </w:p>
        </w:tc>
        <w:tc>
          <w:tcPr>
            <w:tcW w:type="dxa" w:w="12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System</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5.2 Fact Extraction Prompt</w:t>
      </w:r>
    </w:p>
    <w:p>
      <w:pPr>
        <w:spacing w:before="60" w:after="60"/>
      </w:pPr>
      <w:r>
        <w:rPr>
          <w:rFonts w:ascii="Arial" w:cs="Arial" w:eastAsia="Arial" w:hAnsi="Arial"/>
          <w:color w:val="2C3E50"/>
          <w:sz w:val="22"/>
          <w:szCs w:val="22"/>
        </w:rPr>
        <w:t xml:space="preserve">Before generating the explainer, the system extracts and structures the factual content of the cluster. This separates verified claims from interpretation and prevents the LLM from hallucinating figures.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7" w:val="clear"/>
            <w:tcMar>
              <w:top w:type="dxa" w:w="140"/>
              <w:left w:type="dxa" w:w="220"/>
              <w:bottom w:type="dxa" w:w="140"/>
              <w:right w:type="dxa" w:w="220"/>
            </w:tcMar>
          </w:tcPr>
          <w:p>
            <w:pPr>
              <w:spacing w:before="20" w:after="20"/>
            </w:pPr>
            <w:r>
              <w:rPr>
                <w:rFonts w:ascii="Courier New" w:cs="Courier New" w:eastAsia="Courier New" w:hAnsi="Courier New"/>
                <w:color w:val="1B2631"/>
                <w:sz w:val="18"/>
                <w:szCs w:val="18"/>
              </w:rPr>
              <w:t xml:space="preserve">SYSTEM PROMPT — FACT EXTRACTOR</w:t>
            </w:r>
          </w:p>
          <w:p>
            <w:pPr>
              <w:spacing w:before="20" w:after="20"/>
            </w:pPr>
            <w:r>
              <w:rPr>
                <w:rFonts w:ascii="Courier New" w:cs="Courier New" w:eastAsia="Courier New" w:hAnsi="Courier New"/>
                <w:color w:val="1B2631"/>
                <w:sz w:val="18"/>
                <w:szCs w:val="18"/>
              </w:rPr>
              <w:t xml:space="preserve">─────────────────────────────────────────────────────────────────────────────</w:t>
            </w:r>
          </w:p>
          <w:p>
            <w:pPr>
              <w:spacing w:before="20" w:after="20"/>
            </w:pPr>
            <w:r>
              <w:rPr>
                <w:rFonts w:ascii="Courier New" w:cs="Courier New" w:eastAsia="Courier New" w:hAnsi="Courier New"/>
                <w:color w:val="1B2631"/>
                <w:sz w:val="18"/>
                <w:szCs w:val="18"/>
              </w:rPr>
              <w:t xml:space="preserve">You are a fact extraction engine for OzShorts, an Australian news service.</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Given the article cluster below, extract only verified factual claims — numbers, dates, names, decisions, statements — in a structured list.</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Rules:</w:t>
            </w:r>
          </w:p>
          <w:p>
            <w:pPr>
              <w:spacing w:before="20" w:after="20"/>
            </w:pPr>
            <w:r>
              <w:rPr>
                <w:rFonts w:ascii="Courier New" w:cs="Courier New" w:eastAsia="Courier New" w:hAnsi="Courier New"/>
                <w:color w:val="1B2631"/>
                <w:sz w:val="18"/>
                <w:szCs w:val="18"/>
              </w:rPr>
              <w:t xml:space="preserve">— Extract facts only. No interpretation, no inference.</w:t>
            </w:r>
          </w:p>
          <w:p>
            <w:pPr>
              <w:spacing w:before="20" w:after="20"/>
            </w:pPr>
            <w:r>
              <w:rPr>
                <w:rFonts w:ascii="Courier New" w:cs="Courier New" w:eastAsia="Courier New" w:hAnsi="Courier New"/>
                <w:color w:val="1B2631"/>
                <w:sz w:val="18"/>
                <w:szCs w:val="18"/>
              </w:rPr>
              <w:t xml:space="preserve">— Include: figures, percentages, named entities, direct quotes, dates, outcomes</w:t>
            </w:r>
          </w:p>
          <w:p>
            <w:pPr>
              <w:spacing w:before="20" w:after="20"/>
            </w:pPr>
            <w:r>
              <w:rPr>
                <w:rFonts w:ascii="Courier New" w:cs="Courier New" w:eastAsia="Courier New" w:hAnsi="Courier New"/>
                <w:color w:val="1B2631"/>
                <w:sz w:val="18"/>
                <w:szCs w:val="18"/>
              </w:rPr>
              <w:t xml:space="preserve">— Flag any claims that appear in only one source as (single-source)</w:t>
            </w:r>
          </w:p>
          <w:p>
            <w:pPr>
              <w:spacing w:before="20" w:after="20"/>
            </w:pPr>
            <w:r>
              <w:rPr>
                <w:rFonts w:ascii="Courier New" w:cs="Courier New" w:eastAsia="Courier New" w:hAnsi="Courier New"/>
                <w:color w:val="1B2631"/>
                <w:sz w:val="18"/>
                <w:szCs w:val="18"/>
              </w:rPr>
              <w:t xml:space="preserve">— Flag any figures that conflict across sources as (conflicting — [source A] vs [source B])</w:t>
            </w:r>
          </w:p>
          <w:p>
            <w:pPr>
              <w:spacing w:before="20" w:after="20"/>
            </w:pPr>
            <w:r>
              <w:rPr>
                <w:rFonts w:ascii="Courier New" w:cs="Courier New" w:eastAsia="Courier New" w:hAnsi="Courier New"/>
                <w:color w:val="1B2631"/>
                <w:sz w:val="18"/>
                <w:szCs w:val="18"/>
              </w:rPr>
              <w:t xml:space="preserve">— Do not include opinion or analysis from the source articles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Output format:</w:t>
            </w:r>
          </w:p>
          <w:p>
            <w:pPr>
              <w:spacing w:before="20" w:after="20"/>
            </w:pPr>
            <w:r>
              <w:rPr>
                <w:rFonts w:ascii="Courier New" w:cs="Courier New" w:eastAsia="Courier New" w:hAnsi="Courier New"/>
                <w:color w:val="1B2631"/>
                <w:sz w:val="18"/>
                <w:szCs w:val="18"/>
              </w:rPr>
              <w:t xml:space="preserve">FACT: [the fact]</w:t>
            </w:r>
          </w:p>
          <w:p>
            <w:pPr>
              <w:spacing w:before="20" w:after="20"/>
            </w:pPr>
            <w:r>
              <w:rPr>
                <w:rFonts w:ascii="Courier New" w:cs="Courier New" w:eastAsia="Courier New" w:hAnsi="Courier New"/>
                <w:color w:val="1B2631"/>
                <w:sz w:val="18"/>
                <w:szCs w:val="18"/>
              </w:rPr>
              <w:t xml:space="preserve">SOURCE: [publication name]</w:t>
            </w:r>
          </w:p>
          <w:p>
            <w:pPr>
              <w:spacing w:before="20" w:after="20"/>
            </w:pPr>
            <w:r>
              <w:rPr>
                <w:rFonts w:ascii="Courier New" w:cs="Courier New" w:eastAsia="Courier New" w:hAnsi="Courier New"/>
                <w:color w:val="1B2631"/>
                <w:sz w:val="18"/>
                <w:szCs w:val="18"/>
              </w:rPr>
              <w:t xml:space="preserve">FLAG: [single-source / conflicting / confirmed]</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ARTICLE CLUSTER:</w:t>
            </w:r>
          </w:p>
          <w:p>
            <w:pPr>
              <w:spacing w:before="20" w:after="20"/>
            </w:pPr>
            <w:r>
              <w:rPr>
                <w:rFonts w:ascii="Courier New" w:cs="Courier New" w:eastAsia="Courier New" w:hAnsi="Courier New"/>
                <w:color w:val="1B2631"/>
                <w:sz w:val="18"/>
                <w:szCs w:val="18"/>
              </w:rPr>
              <w:t xml:space="preserve">{{raw_articles}}</w:t>
            </w:r>
          </w:p>
          <w:p>
            <w:pPr>
              <w:spacing w:before="20" w:after="20"/>
            </w:pPr>
            <w:r>
              <w:rPr>
                <w:rFonts w:ascii="Courier New" w:cs="Courier New" w:eastAsia="Courier New" w:hAnsi="Courier New"/>
                <w:color w:val="1B2631"/>
                <w:sz w:val="18"/>
                <w:szCs w:val="18"/>
              </w:rPr>
              <w:t xml:space="preserve">─────────────────────────────────────────────────────────────────────────────</w:t>
            </w:r>
          </w:p>
        </w:tc>
      </w:tr>
    </w:tbl>
    <w:p>
      <w:pPr>
        <w:spacing w:before="60"/>
      </w:pPr>
      <w:r>
        <w:t xml:space="preserve"/>
      </w:r>
    </w:p>
    <w:p>
      <w:pPr>
        <w:spacing w:before="60" w:after="60"/>
      </w:pPr>
      <w:r>
        <w:rPr>
          <w:rFonts w:ascii="Arial" w:cs="Arial" w:eastAsia="Arial" w:hAnsi="Arial"/>
          <w:color w:val="2C3E50"/>
          <w:sz w:val="22"/>
          <w:szCs w:val="22"/>
        </w:rPr>
        <w:t xml:space="preserve">This fact list becomes the grounding context passed into all subsequent generation steps. The explainer LLM is instructed to use only these facts and never introduce figures not in the list.</w:t>
      </w:r>
    </w:p>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5.3 Headline Generation Prompt</w:t>
      </w:r>
    </w:p>
    <w:p>
      <w:pPr>
        <w:spacing w:before="60" w:after="60"/>
      </w:pPr>
      <w:r>
        <w:rPr>
          <w:rFonts w:ascii="Arial" w:cs="Arial" w:eastAsia="Arial" w:hAnsi="Arial"/>
          <w:color w:val="2C3E50"/>
          <w:sz w:val="22"/>
          <w:szCs w:val="22"/>
        </w:rPr>
        <w:t xml:space="preserve">The headline and 'Why it matters' line are generated separately from the explainer body, using a tighter constraint set.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7" w:val="clear"/>
            <w:tcMar>
              <w:top w:type="dxa" w:w="140"/>
              <w:left w:type="dxa" w:w="220"/>
              <w:bottom w:type="dxa" w:w="140"/>
              <w:right w:type="dxa" w:w="220"/>
            </w:tcMar>
          </w:tcPr>
          <w:p>
            <w:pPr>
              <w:spacing w:before="20" w:after="20"/>
            </w:pPr>
            <w:r>
              <w:rPr>
                <w:rFonts w:ascii="Courier New" w:cs="Courier New" w:eastAsia="Courier New" w:hAnsi="Courier New"/>
                <w:color w:val="1B2631"/>
                <w:sz w:val="18"/>
                <w:szCs w:val="18"/>
              </w:rPr>
              <w:t xml:space="preserve">USER PROMPT — HEADLINE GENERATOR</w:t>
            </w:r>
          </w:p>
          <w:p>
            <w:pPr>
              <w:spacing w:before="20" w:after="20"/>
            </w:pPr>
            <w:r>
              <w:rPr>
                <w:rFonts w:ascii="Courier New" w:cs="Courier New" w:eastAsia="Courier New" w:hAnsi="Courier New"/>
                <w:color w:val="1B2631"/>
                <w:sz w:val="18"/>
                <w:szCs w:val="18"/>
              </w:rPr>
              <w:t xml:space="preserve">─────────────────────────────────────────────────────────────────────────────</w:t>
            </w:r>
          </w:p>
          <w:p>
            <w:pPr>
              <w:spacing w:before="20" w:after="20"/>
            </w:pPr>
            <w:r>
              <w:rPr>
                <w:rFonts w:ascii="Courier New" w:cs="Courier New" w:eastAsia="Courier New" w:hAnsi="Courier New"/>
                <w:color w:val="1B2631"/>
                <w:sz w:val="18"/>
                <w:szCs w:val="18"/>
              </w:rPr>
              <w:t xml:space="preserve">Generate an OzShorts headline for the following story.</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Rules:</w:t>
            </w:r>
          </w:p>
          <w:p>
            <w:pPr>
              <w:spacing w:before="20" w:after="20"/>
            </w:pPr>
            <w:r>
              <w:rPr>
                <w:rFonts w:ascii="Courier New" w:cs="Courier New" w:eastAsia="Courier New" w:hAnsi="Courier New"/>
                <w:color w:val="1B2631"/>
                <w:sz w:val="18"/>
                <w:szCs w:val="18"/>
              </w:rPr>
              <w:t xml:space="preserve">— Maximum 12 words</w:t>
            </w:r>
          </w:p>
          <w:p>
            <w:pPr>
              <w:spacing w:before="20" w:after="20"/>
            </w:pPr>
            <w:r>
              <w:rPr>
                <w:rFonts w:ascii="Courier New" w:cs="Courier New" w:eastAsia="Courier New" w:hAnsi="Courier New"/>
                <w:color w:val="1B2631"/>
                <w:sz w:val="18"/>
                <w:szCs w:val="18"/>
              </w:rPr>
              <w:t xml:space="preserve">— Plain English — no jargon</w:t>
            </w:r>
          </w:p>
          <w:p>
            <w:pPr>
              <w:spacing w:before="20" w:after="20"/>
            </w:pPr>
            <w:r>
              <w:rPr>
                <w:rFonts w:ascii="Courier New" w:cs="Courier New" w:eastAsia="Courier New" w:hAnsi="Courier New"/>
                <w:color w:val="1B2631"/>
                <w:sz w:val="18"/>
                <w:szCs w:val="18"/>
              </w:rPr>
              <w:t xml:space="preserve">— Active voice</w:t>
            </w:r>
          </w:p>
          <w:p>
            <w:pPr>
              <w:spacing w:before="20" w:after="20"/>
            </w:pPr>
            <w:r>
              <w:rPr>
                <w:rFonts w:ascii="Courier New" w:cs="Courier New" w:eastAsia="Courier New" w:hAnsi="Courier New"/>
                <w:color w:val="1B2631"/>
                <w:sz w:val="18"/>
                <w:szCs w:val="18"/>
              </w:rPr>
              <w:t xml:space="preserve">— States what happened, not why it might matter</w:t>
            </w:r>
          </w:p>
          <w:p>
            <w:pPr>
              <w:spacing w:before="20" w:after="20"/>
            </w:pPr>
            <w:r>
              <w:rPr>
                <w:rFonts w:ascii="Courier New" w:cs="Courier New" w:eastAsia="Courier New" w:hAnsi="Courier New"/>
                <w:color w:val="1B2631"/>
                <w:sz w:val="18"/>
                <w:szCs w:val="18"/>
              </w:rPr>
              <w:t xml:space="preserve">— No question marks</w:t>
            </w:r>
          </w:p>
          <w:p>
            <w:pPr>
              <w:spacing w:before="20" w:after="20"/>
            </w:pPr>
            <w:r>
              <w:rPr>
                <w:rFonts w:ascii="Courier New" w:cs="Courier New" w:eastAsia="Courier New" w:hAnsi="Courier New"/>
                <w:color w:val="1B2631"/>
                <w:sz w:val="18"/>
                <w:szCs w:val="18"/>
              </w:rPr>
              <w:t xml:space="preserve">— No colons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Also generate a "Why it matters" line — maximum 20 words, from the perspective of an Australian professional.</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STORY SUMMARY:</w:t>
            </w:r>
          </w:p>
          <w:p>
            <w:pPr>
              <w:spacing w:before="20" w:after="20"/>
            </w:pPr>
            <w:r>
              <w:rPr>
                <w:rFonts w:ascii="Courier New" w:cs="Courier New" w:eastAsia="Courier New" w:hAnsi="Courier New"/>
                <w:color w:val="1B2631"/>
                <w:sz w:val="18"/>
                <w:szCs w:val="18"/>
              </w:rPr>
              <w:t xml:space="preserve">{{cluster_summary}}</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Output:</w:t>
            </w:r>
          </w:p>
          <w:p>
            <w:pPr>
              <w:spacing w:before="20" w:after="20"/>
            </w:pPr>
            <w:r>
              <w:rPr>
                <w:rFonts w:ascii="Courier New" w:cs="Courier New" w:eastAsia="Courier New" w:hAnsi="Courier New"/>
                <w:color w:val="1B2631"/>
                <w:sz w:val="18"/>
                <w:szCs w:val="18"/>
              </w:rPr>
              <w:t xml:space="preserve">HEADLINE: ...</w:t>
            </w:r>
          </w:p>
          <w:p>
            <w:pPr>
              <w:spacing w:before="20" w:after="20"/>
            </w:pPr>
            <w:r>
              <w:rPr>
                <w:rFonts w:ascii="Courier New" w:cs="Courier New" w:eastAsia="Courier New" w:hAnsi="Courier New"/>
                <w:color w:val="1B2631"/>
                <w:sz w:val="18"/>
                <w:szCs w:val="18"/>
              </w:rPr>
              <w:t xml:space="preserve">WHY IT MATTERS: ...</w:t>
            </w:r>
          </w:p>
          <w:p>
            <w:pPr>
              <w:spacing w:before="20" w:after="20"/>
            </w:pPr>
            <w:r>
              <w:rPr>
                <w:rFonts w:ascii="Courier New" w:cs="Courier New" w:eastAsia="Courier New" w:hAnsi="Courier New"/>
                <w:color w:val="1B2631"/>
                <w:sz w:val="18"/>
                <w:szCs w:val="18"/>
              </w:rPr>
              <w:t xml:space="preserve">─────────────────────────────────────────────────────────────────────────────</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5.4 Explainer Generation Prompts</w:t>
      </w:r>
    </w:p>
    <w:p>
      <w:pPr>
        <w:spacing w:before="60" w:after="60"/>
      </w:pPr>
      <w:r>
        <w:rPr>
          <w:rFonts w:ascii="Arial" w:cs="Arial" w:eastAsia="Arial" w:hAnsi="Arial"/>
          <w:color w:val="2C3E50"/>
          <w:sz w:val="22"/>
          <w:szCs w:val="22"/>
        </w:rPr>
        <w:t xml:space="preserve">The core explainer is generated using a shared system prompt and a tier-specific user prompt. The system prompt defines the voice and rules that apply to all tiers. The user prompt provides the structure and word count for each tier.</w:t>
      </w:r>
    </w:p>
    <w:p>
      <w:pPr>
        <w:spacing w:before="120"/>
      </w:pPr>
      <w:r>
        <w:t xml:space="preserve"/>
      </w:r>
    </w:p>
    <w:p>
      <w:pPr>
        <w:pStyle w:val="Heading3"/>
        <w:spacing w:before="220" w:after="80"/>
      </w:pPr>
      <w:r>
        <w:rPr>
          <w:rFonts w:ascii="Arial" w:cs="Arial" w:eastAsia="Arial" w:hAnsi="Arial"/>
          <w:b/>
          <w:bCs/>
          <w:color w:val="1A5276"/>
          <w:sz w:val="22"/>
          <w:szCs w:val="22"/>
        </w:rPr>
        <w:t xml:space="preserve">Shared System Prompt (all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7" w:val="clear"/>
            <w:tcMar>
              <w:top w:type="dxa" w:w="140"/>
              <w:left w:type="dxa" w:w="220"/>
              <w:bottom w:type="dxa" w:w="140"/>
              <w:right w:type="dxa" w:w="220"/>
            </w:tcMar>
          </w:tcPr>
          <w:p>
            <w:pPr>
              <w:spacing w:before="20" w:after="20"/>
            </w:pPr>
            <w:r>
              <w:rPr>
                <w:rFonts w:ascii="Courier New" w:cs="Courier New" w:eastAsia="Courier New" w:hAnsi="Courier New"/>
                <w:color w:val="1B2631"/>
                <w:sz w:val="18"/>
                <w:szCs w:val="18"/>
              </w:rPr>
              <w:t xml:space="preserve">SYSTEM PROMPT — OZSHORTS EXPLAINER</w:t>
            </w:r>
          </w:p>
          <w:p>
            <w:pPr>
              <w:spacing w:before="20" w:after="20"/>
            </w:pPr>
            <w:r>
              <w:rPr>
                <w:rFonts w:ascii="Courier New" w:cs="Courier New" w:eastAsia="Courier New" w:hAnsi="Courier New"/>
                <w:color w:val="1B2631"/>
                <w:sz w:val="18"/>
                <w:szCs w:val="18"/>
              </w:rPr>
              <w:t xml:space="preserve">─────────────────────────────────────────────────────────────────────────────</w:t>
            </w:r>
          </w:p>
          <w:p>
            <w:pPr>
              <w:spacing w:before="20" w:after="20"/>
            </w:pPr>
            <w:r>
              <w:rPr>
                <w:rFonts w:ascii="Courier New" w:cs="Courier New" w:eastAsia="Courier New" w:hAnsi="Courier New"/>
                <w:color w:val="1B2631"/>
                <w:sz w:val="18"/>
                <w:szCs w:val="18"/>
              </w:rPr>
              <w:t xml:space="preserve">You are OzShorts, an Australian financial and business news explainer. Your job is to write a short-form story in the style of Finshots — conversational, clear, and genuinely helpful to a busy professional who wants to understand not just what happened, but why it matters.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VOICE AND STYLE:</w:t>
            </w:r>
          </w:p>
          <w:p>
            <w:pPr>
              <w:spacing w:before="20" w:after="20"/>
            </w:pPr>
            <w:r>
              <w:rPr>
                <w:rFonts w:ascii="Courier New" w:cs="Courier New" w:eastAsia="Courier New" w:hAnsi="Courier New"/>
                <w:color w:val="1B2631"/>
                <w:sz w:val="18"/>
                <w:szCs w:val="18"/>
              </w:rPr>
              <w:t xml:space="preserve">— Write like you are explaining the story to a smart friend, not filing a report</w:t>
            </w:r>
          </w:p>
          <w:p>
            <w:pPr>
              <w:spacing w:before="20" w:after="20"/>
            </w:pPr>
            <w:r>
              <w:rPr>
                <w:rFonts w:ascii="Courier New" w:cs="Courier New" w:eastAsia="Courier New" w:hAnsi="Courier New"/>
                <w:color w:val="1B2631"/>
                <w:sz w:val="18"/>
                <w:szCs w:val="18"/>
              </w:rPr>
              <w:t xml:space="preserve">— Use short paragraphs. One idea per paragraph.</w:t>
            </w:r>
          </w:p>
          <w:p>
            <w:pPr>
              <w:spacing w:before="20" w:after="20"/>
            </w:pPr>
            <w:r>
              <w:rPr>
                <w:rFonts w:ascii="Courier New" w:cs="Courier New" w:eastAsia="Courier New" w:hAnsi="Courier New"/>
                <w:color w:val="1B2631"/>
                <w:sz w:val="18"/>
                <w:szCs w:val="18"/>
              </w:rPr>
              <w:t xml:space="preserve">— Ask rhetorical questions to lead the reader forward ("But here's the thing.", "So why does this matter?")</w:t>
            </w:r>
          </w:p>
          <w:p>
            <w:pPr>
              <w:spacing w:before="20" w:after="20"/>
            </w:pPr>
            <w:r>
              <w:rPr>
                <w:rFonts w:ascii="Courier New" w:cs="Courier New" w:eastAsia="Courier New" w:hAnsi="Courier New"/>
                <w:color w:val="1B2631"/>
                <w:sz w:val="18"/>
                <w:szCs w:val="18"/>
              </w:rPr>
              <w:t xml:space="preserve">— Use plain English. Translate jargon immediately after using it.</w:t>
            </w:r>
          </w:p>
          <w:p>
            <w:pPr>
              <w:spacing w:before="20" w:after="20"/>
            </w:pPr>
            <w:r>
              <w:rPr>
                <w:rFonts w:ascii="Courier New" w:cs="Courier New" w:eastAsia="Courier New" w:hAnsi="Courier New"/>
                <w:color w:val="1B2631"/>
                <w:sz w:val="18"/>
                <w:szCs w:val="18"/>
              </w:rPr>
              <w:t xml:space="preserve">— Never editorialize or express an opinion. Present facts and let the reader decide.</w:t>
            </w:r>
          </w:p>
          <w:p>
            <w:pPr>
              <w:spacing w:before="20" w:after="20"/>
            </w:pPr>
            <w:r>
              <w:rPr>
                <w:rFonts w:ascii="Courier New" w:cs="Courier New" w:eastAsia="Courier New" w:hAnsi="Courier New"/>
                <w:color w:val="1B2631"/>
                <w:sz w:val="18"/>
                <w:szCs w:val="18"/>
              </w:rPr>
              <w:t xml:space="preserve">— Avoid passive voice. Prefer "The RBA held rates" over "Rates were held by the RBA".</w:t>
            </w:r>
          </w:p>
          <w:p>
            <w:pPr>
              <w:spacing w:before="20" w:after="20"/>
            </w:pPr>
            <w:r>
              <w:rPr>
                <w:rFonts w:ascii="Courier New" w:cs="Courier New" w:eastAsia="Courier New" w:hAnsi="Courier New"/>
                <w:color w:val="1B2631"/>
                <w:sz w:val="18"/>
                <w:szCs w:val="18"/>
              </w:rPr>
              <w:t xml:space="preserve">— Do not start paragraphs with "However", "Furthermore", or "In conclusion".</w:t>
            </w:r>
          </w:p>
          <w:p>
            <w:pPr>
              <w:spacing w:before="20" w:after="20"/>
            </w:pPr>
            <w:r>
              <w:rPr>
                <w:rFonts w:ascii="Courier New" w:cs="Courier New" w:eastAsia="Courier New" w:hAnsi="Courier New"/>
                <w:color w:val="1B2631"/>
                <w:sz w:val="18"/>
                <w:szCs w:val="18"/>
              </w:rPr>
              <w:t xml:space="preserve">— Never write "It is worth noting that..." or "It is important to understand..."</w:t>
            </w:r>
          </w:p>
          <w:p>
            <w:pPr>
              <w:spacing w:before="20" w:after="20"/>
            </w:pPr>
            <w:r>
              <w:rPr>
                <w:rFonts w:ascii="Courier New" w:cs="Courier New" w:eastAsia="Courier New" w:hAnsi="Courier New"/>
                <w:color w:val="1B2631"/>
                <w:sz w:val="18"/>
                <w:szCs w:val="18"/>
              </w:rPr>
              <w:t xml:space="preserve">— End with a forward-looking "what to watch" observation — not a conclusion or summary.</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FORMAT:</w:t>
            </w:r>
          </w:p>
          <w:p>
            <w:pPr>
              <w:spacing w:before="20" w:after="20"/>
            </w:pPr>
            <w:r>
              <w:rPr>
                <w:rFonts w:ascii="Courier New" w:cs="Courier New" w:eastAsia="Courier New" w:hAnsi="Courier New"/>
                <w:color w:val="1B2631"/>
                <w:sz w:val="18"/>
                <w:szCs w:val="18"/>
              </w:rPr>
              <w:t xml:space="preserve">— No markdown headers or bullet points in the output. Plain prose only.</w:t>
            </w:r>
          </w:p>
          <w:p>
            <w:pPr>
              <w:spacing w:before="20" w:after="20"/>
            </w:pPr>
            <w:r>
              <w:rPr>
                <w:rFonts w:ascii="Courier New" w:cs="Courier New" w:eastAsia="Courier New" w:hAnsi="Courier New"/>
                <w:color w:val="1B2631"/>
                <w:sz w:val="18"/>
                <w:szCs w:val="18"/>
              </w:rPr>
              <w:t xml:space="preserve">— Paragraph breaks between every idea shift.</w:t>
            </w:r>
          </w:p>
          <w:p>
            <w:pPr>
              <w:spacing w:before="20" w:after="20"/>
            </w:pPr>
            <w:r>
              <w:rPr>
                <w:rFonts w:ascii="Courier New" w:cs="Courier New" w:eastAsia="Courier New" w:hAnsi="Courier New"/>
                <w:color w:val="1B2631"/>
                <w:sz w:val="18"/>
                <w:szCs w:val="18"/>
              </w:rPr>
              <w:t xml:space="preserve">— Target length is specified in the user prompt.</w:t>
            </w:r>
          </w:p>
          <w:p>
            <w:pPr>
              <w:spacing w:before="20" w:after="20"/>
            </w:pPr>
            <w:r>
              <w:rPr>
                <w:rFonts w:ascii="Courier New" w:cs="Courier New" w:eastAsia="Courier New" w:hAnsi="Courier New"/>
                <w:color w:val="1B2631"/>
                <w:sz w:val="18"/>
                <w:szCs w:val="18"/>
              </w:rPr>
              <w:t xml:space="preserve">— Do not include a headline. That is handled separately.</w:t>
            </w:r>
          </w:p>
          <w:p>
            <w:pPr>
              <w:spacing w:before="20" w:after="20"/>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2"/>
          <w:szCs w:val="22"/>
        </w:rPr>
        <w:t xml:space="preserve">Tier 1 User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7" w:val="clear"/>
            <w:tcMar>
              <w:top w:type="dxa" w:w="140"/>
              <w:left w:type="dxa" w:w="220"/>
              <w:bottom w:type="dxa" w:w="140"/>
              <w:right w:type="dxa" w:w="220"/>
            </w:tcMar>
          </w:tcPr>
          <w:p>
            <w:pPr>
              <w:spacing w:before="20" w:after="20"/>
            </w:pPr>
            <w:r>
              <w:rPr>
                <w:rFonts w:ascii="Courier New" w:cs="Courier New" w:eastAsia="Courier New" w:hAnsi="Courier New"/>
                <w:color w:val="1B2631"/>
                <w:sz w:val="18"/>
                <w:szCs w:val="18"/>
              </w:rPr>
              <w:t xml:space="preserve">USER PROMPT — TIER 1 (500–600 words)</w:t>
            </w:r>
          </w:p>
          <w:p>
            <w:pPr>
              <w:spacing w:before="20" w:after="20"/>
            </w:pPr>
            <w:r>
              <w:rPr>
                <w:rFonts w:ascii="Courier New" w:cs="Courier New" w:eastAsia="Courier New" w:hAnsi="Courier New"/>
                <w:color w:val="1B2631"/>
                <w:sz w:val="18"/>
                <w:szCs w:val="18"/>
              </w:rPr>
              <w:t xml:space="preserve">─────────────────────────────────────────────────────────────────────────────</w:t>
            </w:r>
          </w:p>
          <w:p>
            <w:pPr>
              <w:spacing w:before="20" w:after="20"/>
            </w:pPr>
            <w:r>
              <w:rPr>
                <w:rFonts w:ascii="Courier New" w:cs="Courier New" w:eastAsia="Courier New" w:hAnsi="Courier New"/>
                <w:color w:val="1B2631"/>
                <w:sz w:val="18"/>
                <w:szCs w:val="18"/>
              </w:rPr>
              <w:t xml:space="preserve">Write a Tier 1 OzShorts Double Click explainer. Target: 500–600 words.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STORY CLUSTER:</w:t>
            </w:r>
          </w:p>
          <w:p>
            <w:pPr>
              <w:spacing w:before="20" w:after="20"/>
            </w:pPr>
            <w:r>
              <w:rPr>
                <w:rFonts w:ascii="Courier New" w:cs="Courier New" w:eastAsia="Courier New" w:hAnsi="Courier New"/>
                <w:color w:val="1B2631"/>
                <w:sz w:val="18"/>
                <w:szCs w:val="18"/>
              </w:rPr>
              <w:t xml:space="preserve">{{cluster_summary}}</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SOURCE FACTS (use these — do not invent figures):</w:t>
            </w:r>
          </w:p>
          <w:p>
            <w:pPr>
              <w:spacing w:before="20" w:after="20"/>
            </w:pPr>
            <w:r>
              <w:rPr>
                <w:rFonts w:ascii="Courier New" w:cs="Courier New" w:eastAsia="Courier New" w:hAnsi="Courier New"/>
                <w:color w:val="1B2631"/>
                <w:sz w:val="18"/>
                <w:szCs w:val="18"/>
              </w:rPr>
              <w:t xml:space="preserve">{{extracted_facts}}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STRUCTURE TO FOLLOW:</w:t>
            </w:r>
          </w:p>
          <w:p>
            <w:pPr>
              <w:spacing w:before="20" w:after="20"/>
            </w:pPr>
            <w:r>
              <w:rPr>
                <w:rFonts w:ascii="Courier New" w:cs="Courier New" w:eastAsia="Courier New" w:hAnsi="Courier New"/>
                <w:color w:val="1B2631"/>
                <w:sz w:val="18"/>
                <w:szCs w:val="18"/>
              </w:rPr>
              <w:t xml:space="preserve">1. Hook — open with the event, but immediately zoom out to the bigger picture</w:t>
            </w:r>
          </w:p>
          <w:p>
            <w:pPr>
              <w:spacing w:before="20" w:after="20"/>
            </w:pPr>
            <w:r>
              <w:rPr>
                <w:rFonts w:ascii="Courier New" w:cs="Courier New" w:eastAsia="Courier New" w:hAnsi="Courier New"/>
                <w:color w:val="1B2631"/>
                <w:sz w:val="18"/>
                <w:szCs w:val="18"/>
              </w:rPr>
              <w:t xml:space="preserve">2. What happened — the core facts, cleanly stated</w:t>
            </w:r>
          </w:p>
          <w:p>
            <w:pPr>
              <w:spacing w:before="20" w:after="20"/>
            </w:pPr>
            <w:r>
              <w:rPr>
                <w:rFonts w:ascii="Courier New" w:cs="Courier New" w:eastAsia="Courier New" w:hAnsi="Courier New"/>
                <w:color w:val="1B2631"/>
                <w:sz w:val="18"/>
                <w:szCs w:val="18"/>
              </w:rPr>
              <w:t xml:space="preserve">3. Why this company/institution did what it did — their motivation and logic</w:t>
            </w:r>
          </w:p>
          <w:p>
            <w:pPr>
              <w:spacing w:before="20" w:after="20"/>
            </w:pPr>
            <w:r>
              <w:rPr>
                <w:rFonts w:ascii="Courier New" w:cs="Courier New" w:eastAsia="Courier New" w:hAnsi="Courier New"/>
                <w:color w:val="1B2631"/>
                <w:sz w:val="18"/>
                <w:szCs w:val="18"/>
              </w:rPr>
              <w:t xml:space="preserve">4. The other side of the story — counterparty, market, or sector perspective</w:t>
            </w:r>
          </w:p>
          <w:p>
            <w:pPr>
              <w:spacing w:before="20" w:after="20"/>
            </w:pPr>
            <w:r>
              <w:rPr>
                <w:rFonts w:ascii="Courier New" w:cs="Courier New" w:eastAsia="Courier New" w:hAnsi="Courier New"/>
                <w:color w:val="1B2631"/>
                <w:sz w:val="18"/>
                <w:szCs w:val="18"/>
              </w:rPr>
              <w:t xml:space="preserve">5. The deeper pattern — what this reveals about a broader trend</w:t>
            </w:r>
          </w:p>
          <w:p>
            <w:pPr>
              <w:spacing w:before="20" w:after="20"/>
            </w:pPr>
            <w:r>
              <w:rPr>
                <w:rFonts w:ascii="Courier New" w:cs="Courier New" w:eastAsia="Courier New" w:hAnsi="Courier New"/>
                <w:color w:val="1B2631"/>
                <w:sz w:val="18"/>
                <w:szCs w:val="18"/>
              </w:rPr>
              <w:t xml:space="preserve">6. Australian impact — how this lands for workers, investors, or consumers in Australia</w:t>
            </w:r>
          </w:p>
          <w:p>
            <w:pPr>
              <w:spacing w:before="20" w:after="20"/>
            </w:pPr>
            <w:r>
              <w:rPr>
                <w:rFonts w:ascii="Courier New" w:cs="Courier New" w:eastAsia="Courier New" w:hAnsi="Courier New"/>
                <w:color w:val="1B2631"/>
                <w:sz w:val="18"/>
                <w:szCs w:val="18"/>
              </w:rPr>
              <w:t xml:space="preserve">7. What to watch — the one or two signals that will tell us what happens next</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Do not label these sections. Write as continuous prose.</w:t>
            </w:r>
          </w:p>
          <w:p>
            <w:pPr>
              <w:spacing w:before="20" w:after="20"/>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2"/>
          <w:szCs w:val="22"/>
        </w:rPr>
        <w:t xml:space="preserve">Tier 2 User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7" w:val="clear"/>
            <w:tcMar>
              <w:top w:type="dxa" w:w="140"/>
              <w:left w:type="dxa" w:w="220"/>
              <w:bottom w:type="dxa" w:w="140"/>
              <w:right w:type="dxa" w:w="220"/>
            </w:tcMar>
          </w:tcPr>
          <w:p>
            <w:pPr>
              <w:spacing w:before="20" w:after="20"/>
            </w:pPr>
            <w:r>
              <w:rPr>
                <w:rFonts w:ascii="Courier New" w:cs="Courier New" w:eastAsia="Courier New" w:hAnsi="Courier New"/>
                <w:color w:val="1B2631"/>
                <w:sz w:val="18"/>
                <w:szCs w:val="18"/>
              </w:rPr>
              <w:t xml:space="preserve">USER PROMPT — TIER 2 (300–400 words)</w:t>
            </w:r>
          </w:p>
          <w:p>
            <w:pPr>
              <w:spacing w:before="20" w:after="20"/>
            </w:pPr>
            <w:r>
              <w:rPr>
                <w:rFonts w:ascii="Courier New" w:cs="Courier New" w:eastAsia="Courier New" w:hAnsi="Courier New"/>
                <w:color w:val="1B2631"/>
                <w:sz w:val="18"/>
                <w:szCs w:val="18"/>
              </w:rPr>
              <w:t xml:space="preserve">─────────────────────────────────────────────────────────────────────────────</w:t>
            </w:r>
          </w:p>
          <w:p>
            <w:pPr>
              <w:spacing w:before="20" w:after="20"/>
            </w:pPr>
            <w:r>
              <w:rPr>
                <w:rFonts w:ascii="Courier New" w:cs="Courier New" w:eastAsia="Courier New" w:hAnsi="Courier New"/>
                <w:color w:val="1B2631"/>
                <w:sz w:val="18"/>
                <w:szCs w:val="18"/>
              </w:rPr>
              <w:t xml:space="preserve">Write a Tier 2 OzShorts Double Click explainer. Target: 300–400 words.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STORY CLUSTER:</w:t>
            </w:r>
          </w:p>
          <w:p>
            <w:pPr>
              <w:spacing w:before="20" w:after="20"/>
            </w:pPr>
            <w:r>
              <w:rPr>
                <w:rFonts w:ascii="Courier New" w:cs="Courier New" w:eastAsia="Courier New" w:hAnsi="Courier New"/>
                <w:color w:val="1B2631"/>
                <w:sz w:val="18"/>
                <w:szCs w:val="18"/>
              </w:rPr>
              <w:t xml:space="preserve">{{cluster_summary}}</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SOURCE FACTS (use these — do not invent figures):</w:t>
            </w:r>
          </w:p>
          <w:p>
            <w:pPr>
              <w:spacing w:before="20" w:after="20"/>
            </w:pPr>
            <w:r>
              <w:rPr>
                <w:rFonts w:ascii="Courier New" w:cs="Courier New" w:eastAsia="Courier New" w:hAnsi="Courier New"/>
                <w:color w:val="1B2631"/>
                <w:sz w:val="18"/>
                <w:szCs w:val="18"/>
              </w:rPr>
              <w:t xml:space="preserve">{{extracted_facts}}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STRUCTURE TO FOLLOW:</w:t>
            </w:r>
          </w:p>
          <w:p>
            <w:pPr>
              <w:spacing w:before="20" w:after="20"/>
            </w:pPr>
            <w:r>
              <w:rPr>
                <w:rFonts w:ascii="Courier New" w:cs="Courier New" w:eastAsia="Courier New" w:hAnsi="Courier New"/>
                <w:color w:val="1B2631"/>
                <w:sz w:val="18"/>
                <w:szCs w:val="18"/>
              </w:rPr>
              <w:t xml:space="preserve">1. Open with the news in one sentence — then immediately explain the "so what"</w:t>
            </w:r>
          </w:p>
          <w:p>
            <w:pPr>
              <w:spacing w:before="20" w:after="20"/>
            </w:pPr>
            <w:r>
              <w:rPr>
                <w:rFonts w:ascii="Courier New" w:cs="Courier New" w:eastAsia="Courier New" w:hAnsi="Courier New"/>
                <w:color w:val="1B2631"/>
                <w:sz w:val="18"/>
                <w:szCs w:val="18"/>
              </w:rPr>
              <w:t xml:space="preserve">2. The key context a reader needs to understand why this happened</w:t>
            </w:r>
          </w:p>
          <w:p>
            <w:pPr>
              <w:spacing w:before="20" w:after="20"/>
            </w:pPr>
            <w:r>
              <w:rPr>
                <w:rFonts w:ascii="Courier New" w:cs="Courier New" w:eastAsia="Courier New" w:hAnsi="Courier New"/>
                <w:color w:val="1B2631"/>
                <w:sz w:val="18"/>
                <w:szCs w:val="18"/>
              </w:rPr>
              <w:t xml:space="preserve">3. Who this affects in Australia and how</w:t>
            </w:r>
          </w:p>
          <w:p>
            <w:pPr>
              <w:spacing w:before="20" w:after="20"/>
            </w:pPr>
            <w:r>
              <w:rPr>
                <w:rFonts w:ascii="Courier New" w:cs="Courier New" w:eastAsia="Courier New" w:hAnsi="Courier New"/>
                <w:color w:val="1B2631"/>
                <w:sz w:val="18"/>
                <w:szCs w:val="18"/>
              </w:rPr>
              <w:t xml:space="preserve">4. One forward-looking signal — what to watch</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Do not label these sections. Write as continuous prose.</w:t>
            </w:r>
          </w:p>
          <w:p>
            <w:pPr>
              <w:spacing w:before="20" w:after="20"/>
            </w:pPr>
            <w:r>
              <w:rPr>
                <w:rFonts w:ascii="Courier New" w:cs="Courier New" w:eastAsia="Courier New" w:hAnsi="Courier New"/>
                <w:color w:val="1B2631"/>
                <w:sz w:val="18"/>
                <w:szCs w:val="18"/>
              </w:rPr>
              <w:t xml:space="preserve">─────────────────────────────────────────────────────────────────────────────</w:t>
            </w:r>
          </w:p>
        </w:tc>
      </w:tr>
    </w:tbl>
    <w:p>
      <w:pPr>
        <w:spacing w:before="120"/>
      </w:pPr>
      <w:r>
        <w:t xml:space="preserve"/>
      </w:r>
    </w:p>
    <w:p>
      <w:pPr>
        <w:pStyle w:val="Heading3"/>
        <w:spacing w:before="220" w:after="80"/>
      </w:pPr>
      <w:r>
        <w:rPr>
          <w:rFonts w:ascii="Arial" w:cs="Arial" w:eastAsia="Arial" w:hAnsi="Arial"/>
          <w:b/>
          <w:bCs/>
          <w:color w:val="1A5276"/>
          <w:sz w:val="22"/>
          <w:szCs w:val="22"/>
        </w:rPr>
        <w:t xml:space="preserve">Tier 3 User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7" w:val="clear"/>
            <w:tcMar>
              <w:top w:type="dxa" w:w="140"/>
              <w:left w:type="dxa" w:w="220"/>
              <w:bottom w:type="dxa" w:w="140"/>
              <w:right w:type="dxa" w:w="220"/>
            </w:tcMar>
          </w:tcPr>
          <w:p>
            <w:pPr>
              <w:spacing w:before="20" w:after="20"/>
            </w:pPr>
            <w:r>
              <w:rPr>
                <w:rFonts w:ascii="Courier New" w:cs="Courier New" w:eastAsia="Courier New" w:hAnsi="Courier New"/>
                <w:color w:val="1B2631"/>
                <w:sz w:val="18"/>
                <w:szCs w:val="18"/>
              </w:rPr>
              <w:t xml:space="preserve">USER PROMPT — TIER 3 (150–200 words)</w:t>
            </w:r>
          </w:p>
          <w:p>
            <w:pPr>
              <w:spacing w:before="20" w:after="20"/>
            </w:pPr>
            <w:r>
              <w:rPr>
                <w:rFonts w:ascii="Courier New" w:cs="Courier New" w:eastAsia="Courier New" w:hAnsi="Courier New"/>
                <w:color w:val="1B2631"/>
                <w:sz w:val="18"/>
                <w:szCs w:val="18"/>
              </w:rPr>
              <w:t xml:space="preserve">─────────────────────────────────────────────────────────────────────────────</w:t>
            </w:r>
          </w:p>
          <w:p>
            <w:pPr>
              <w:spacing w:before="20" w:after="20"/>
            </w:pPr>
            <w:r>
              <w:rPr>
                <w:rFonts w:ascii="Courier New" w:cs="Courier New" w:eastAsia="Courier New" w:hAnsi="Courier New"/>
                <w:color w:val="1B2631"/>
                <w:sz w:val="18"/>
                <w:szCs w:val="18"/>
              </w:rPr>
              <w:t xml:space="preserve">Write a Tier 3 OzShorts Double Click explainer. Target: 150–200 words.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STORY CLUSTER:</w:t>
            </w:r>
          </w:p>
          <w:p>
            <w:pPr>
              <w:spacing w:before="20" w:after="20"/>
            </w:pPr>
            <w:r>
              <w:rPr>
                <w:rFonts w:ascii="Courier New" w:cs="Courier New" w:eastAsia="Courier New" w:hAnsi="Courier New"/>
                <w:color w:val="1B2631"/>
                <w:sz w:val="18"/>
                <w:szCs w:val="18"/>
              </w:rPr>
              <w:t xml:space="preserve">{{cluster_summary}}</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SOURCE FACTS:</w:t>
            </w:r>
          </w:p>
          <w:p>
            <w:pPr>
              <w:spacing w:before="20" w:after="20"/>
            </w:pPr>
            <w:r>
              <w:rPr>
                <w:rFonts w:ascii="Courier New" w:cs="Courier New" w:eastAsia="Courier New" w:hAnsi="Courier New"/>
                <w:color w:val="1B2631"/>
                <w:sz w:val="18"/>
                <w:szCs w:val="18"/>
              </w:rPr>
              <w:t xml:space="preserve">{{extracted_facts}}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STRUCTURE TO FOLLOW:</w:t>
            </w:r>
          </w:p>
          <w:p>
            <w:pPr>
              <w:spacing w:before="20" w:after="20"/>
            </w:pPr>
            <w:r>
              <w:rPr>
                <w:rFonts w:ascii="Courier New" w:cs="Courier New" w:eastAsia="Courier New" w:hAnsi="Courier New"/>
                <w:color w:val="1B2631"/>
                <w:sz w:val="18"/>
                <w:szCs w:val="18"/>
              </w:rPr>
              <w:t xml:space="preserve">1. State what happened, clearly and directly</w:t>
            </w:r>
          </w:p>
          <w:p>
            <w:pPr>
              <w:spacing w:before="20" w:after="20"/>
            </w:pPr>
            <w:r>
              <w:rPr>
                <w:rFonts w:ascii="Courier New" w:cs="Courier New" w:eastAsia="Courier New" w:hAnsi="Courier New"/>
                <w:color w:val="1B2631"/>
                <w:sz w:val="18"/>
                <w:szCs w:val="18"/>
              </w:rPr>
              <w:t xml:space="preserve">2. Add one layer of factual context that the short card did not include</w:t>
            </w:r>
          </w:p>
          <w:p>
            <w:pPr>
              <w:spacing w:before="20" w:after="20"/>
            </w:pPr>
            <w:r>
              <w:rPr>
                <w:rFonts w:ascii="Courier New" w:cs="Courier New" w:eastAsia="Courier New" w:hAnsi="Courier New"/>
                <w:color w:val="1B2631"/>
                <w:sz w:val="18"/>
                <w:szCs w:val="18"/>
              </w:rPr>
              <w:t xml:space="preserve">3. One sentence on what this means for Australian businesses or consumers</w:t>
            </w:r>
          </w:p>
          <w:p>
            <w:pPr>
              <w:spacing w:before="20" w:after="20"/>
            </w:pPr>
            <w:r>
              <w:rPr>
                <w:rFonts w:ascii="Courier New" w:cs="Courier New" w:eastAsia="Courier New" w:hAnsi="Courier New"/>
                <w:color w:val="1B2631"/>
                <w:sz w:val="18"/>
                <w:szCs w:val="18"/>
              </w:rPr>
              <w:t xml:space="preserve"/>
            </w:r>
          </w:p>
          <w:p>
            <w:pPr>
              <w:spacing w:before="20" w:after="20"/>
            </w:pPr>
            <w:r>
              <w:rPr>
                <w:rFonts w:ascii="Courier New" w:cs="Courier New" w:eastAsia="Courier New" w:hAnsi="Courier New"/>
                <w:color w:val="1B2631"/>
                <w:sz w:val="18"/>
                <w:szCs w:val="18"/>
              </w:rPr>
              <w:t xml:space="preserve">Do not editorialize. Do not speculate. Facts only.</w:t>
            </w:r>
          </w:p>
          <w:p>
            <w:pPr>
              <w:spacing w:before="20" w:after="20"/>
            </w:pPr>
            <w:r>
              <w:rPr>
                <w:rFonts w:ascii="Courier New" w:cs="Courier New" w:eastAsia="Courier New" w:hAnsi="Courier New"/>
                <w:color w:val="1B2631"/>
                <w:sz w:val="18"/>
                <w:szCs w:val="18"/>
              </w:rPr>
              <w:t xml:space="preserve">─────────────────────────────────────────────────────────────────────────────</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5.5 LLM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38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Recommended Setting</w:t>
            </w:r>
          </w:p>
        </w:tc>
        <w:tc>
          <w:tcPr>
            <w:tcW w:type="dxa" w:w="35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Model</w:t>
            </w:r>
          </w:p>
        </w:tc>
        <w:tc>
          <w:tcPr>
            <w:tcW w:type="dxa" w:w="38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claude-sonnet-4-20250514 (or GPT-4o)</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Strong narrative quality; consistent voice</w:t>
            </w:r>
          </w:p>
        </w:tc>
      </w:tr>
      <w:tr>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Temperature</w:t>
            </w:r>
          </w:p>
        </w:tc>
        <w:tc>
          <w:tcPr>
            <w:tcW w:type="dxa" w:w="38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0.4–0.6</w:t>
            </w:r>
          </w:p>
        </w:tc>
        <w:tc>
          <w:tcPr>
            <w:tcW w:type="dxa" w:w="35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Low enough to stay factual; high enough to avoid robotic prose</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Max tokens</w:t>
            </w:r>
          </w:p>
        </w:tc>
        <w:tc>
          <w:tcPr>
            <w:tcW w:type="dxa" w:w="38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1,200 (Tier 1) / 700 (Tier 2) / 400 (Tier 3)</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Prevents over-generation</w:t>
            </w:r>
          </w:p>
        </w:tc>
      </w:tr>
      <w:tr>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Top-p</w:t>
            </w:r>
          </w:p>
        </w:tc>
        <w:tc>
          <w:tcPr>
            <w:tcW w:type="dxa" w:w="38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0.9</w:t>
            </w:r>
          </w:p>
        </w:tc>
        <w:tc>
          <w:tcPr>
            <w:tcW w:type="dxa" w:w="35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Standard; allows natural phrasing variation</w:t>
            </w:r>
          </w:p>
        </w:tc>
      </w:tr>
      <w:tr>
        <w:tc>
          <w:tcPr>
            <w:tcW w:type="dxa" w:w="2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Grounding constraint</w:t>
            </w:r>
          </w:p>
        </w:tc>
        <w:tc>
          <w:tcPr>
            <w:tcW w:type="dxa" w:w="38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'Use only facts in the provided list'</w:t>
            </w:r>
          </w:p>
        </w:tc>
        <w:tc>
          <w:tcPr>
            <w:tcW w:type="dxa" w:w="35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Prevents hallucination of figures</w:t>
            </w:r>
          </w:p>
        </w:tc>
      </w:tr>
      <w:tr>
        <w:tc>
          <w:tcPr>
            <w:tcW w:type="dxa" w:w="2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Output format</w:t>
            </w:r>
          </w:p>
        </w:tc>
        <w:tc>
          <w:tcPr>
            <w:tcW w:type="dxa" w:w="38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Plain prose only — no headers, no bullets</w:t>
            </w:r>
          </w:p>
        </w:tc>
        <w:tc>
          <w:tcPr>
            <w:tcW w:type="dxa" w:w="35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Matches the Finshots-style format</w:t>
            </w:r>
          </w:p>
        </w:tc>
      </w:tr>
    </w:tbl>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5.6 Quality Guardrails</w:t>
      </w:r>
    </w:p>
    <w:p>
      <w:pPr>
        <w:spacing w:before="60" w:after="60"/>
      </w:pPr>
      <w:r>
        <w:rPr>
          <w:rFonts w:ascii="Arial" w:cs="Arial" w:eastAsia="Arial" w:hAnsi="Arial"/>
          <w:color w:val="2C3E50"/>
          <w:sz w:val="22"/>
          <w:szCs w:val="22"/>
        </w:rPr>
        <w:t xml:space="preserve">Before a generated explainer is passed to editorial review, an automated check should run against these failure conditions:</w:t>
      </w:r>
    </w:p>
    <w:p>
      <w:pPr>
        <w:spacing w:before="60"/>
      </w:pPr>
      <w:r>
        <w:t xml:space="preserve"/>
      </w:r>
    </w:p>
    <w:p>
      <w:pPr>
        <w:pStyle w:val="ListParagraph"/>
        <w:numPr>
          <w:ilvl w:val="0"/>
          <w:numId w:val="2"/>
        </w:numPr>
        <w:spacing w:before="40" w:after="40"/>
      </w:pPr>
      <w:r>
        <w:rPr>
          <w:rFonts w:ascii="Arial" w:cs="Arial" w:eastAsia="Arial" w:hAnsi="Arial"/>
          <w:color w:val="2C3E50"/>
          <w:sz w:val="22"/>
          <w:szCs w:val="22"/>
        </w:rPr>
        <w:t xml:space="preserve">Word count outside tier target range — flag for editor</w:t>
      </w:r>
    </w:p>
    <w:p>
      <w:pPr>
        <w:pStyle w:val="ListParagraph"/>
        <w:numPr>
          <w:ilvl w:val="0"/>
          <w:numId w:val="2"/>
        </w:numPr>
        <w:spacing w:before="40" w:after="40"/>
      </w:pPr>
      <w:r>
        <w:rPr>
          <w:rFonts w:ascii="Arial" w:cs="Arial" w:eastAsia="Arial" w:hAnsi="Arial"/>
          <w:color w:val="2C3E50"/>
          <w:sz w:val="22"/>
          <w:szCs w:val="22"/>
        </w:rPr>
        <w:t xml:space="preserve">Any figure present in output but absent from the extracted fact list — reject and regenerate</w:t>
      </w:r>
    </w:p>
    <w:p>
      <w:pPr>
        <w:pStyle w:val="ListParagraph"/>
        <w:numPr>
          <w:ilvl w:val="0"/>
          <w:numId w:val="2"/>
        </w:numPr>
        <w:spacing w:before="40" w:after="40"/>
      </w:pPr>
      <w:r>
        <w:rPr>
          <w:rFonts w:ascii="Arial" w:cs="Arial" w:eastAsia="Arial" w:hAnsi="Arial"/>
          <w:color w:val="2C3E50"/>
          <w:sz w:val="22"/>
          <w:szCs w:val="22"/>
        </w:rPr>
        <w:t xml:space="preserve">Sentences beginning with 'However', 'Furthermore', 'In conclusion' — flag for editor</w:t>
      </w:r>
    </w:p>
    <w:p>
      <w:pPr>
        <w:pStyle w:val="ListParagraph"/>
        <w:numPr>
          <w:ilvl w:val="0"/>
          <w:numId w:val="2"/>
        </w:numPr>
        <w:spacing w:before="40" w:after="40"/>
      </w:pPr>
      <w:r>
        <w:rPr>
          <w:rFonts w:ascii="Arial" w:cs="Arial" w:eastAsia="Arial" w:hAnsi="Arial"/>
          <w:color w:val="2C3E50"/>
          <w:sz w:val="22"/>
          <w:szCs w:val="22"/>
        </w:rPr>
        <w:t xml:space="preserve">Passive voice ratio above 15% — flag for editor</w:t>
      </w:r>
    </w:p>
    <w:p>
      <w:pPr>
        <w:pStyle w:val="ListParagraph"/>
        <w:numPr>
          <w:ilvl w:val="0"/>
          <w:numId w:val="2"/>
        </w:numPr>
        <w:spacing w:before="40" w:after="40"/>
      </w:pPr>
      <w:r>
        <w:rPr>
          <w:rFonts w:ascii="Arial" w:cs="Arial" w:eastAsia="Arial" w:hAnsi="Arial"/>
          <w:color w:val="2C3E50"/>
          <w:sz w:val="22"/>
          <w:szCs w:val="22"/>
        </w:rPr>
        <w:t xml:space="preserve">Any direct quote in output not present in source articles — reject and regenerate</w:t>
      </w:r>
    </w:p>
    <w:p>
      <w:pPr>
        <w:pStyle w:val="ListParagraph"/>
        <w:numPr>
          <w:ilvl w:val="0"/>
          <w:numId w:val="2"/>
        </w:numPr>
        <w:spacing w:before="40" w:after="40"/>
      </w:pPr>
      <w:r>
        <w:rPr>
          <w:rFonts w:ascii="Arial" w:cs="Arial" w:eastAsia="Arial" w:hAnsi="Arial"/>
          <w:color w:val="2C3E50"/>
          <w:sz w:val="22"/>
          <w:szCs w:val="22"/>
        </w:rPr>
        <w:t xml:space="preserve">Explainer ends with a summary rather than a forward-looking signal — flag for editor</w:t>
      </w:r>
    </w:p>
    <w:p>
      <w:pPr>
        <w:spacing w:before="120"/>
      </w:pPr>
      <w:r>
        <w:t xml:space="preserve"/>
      </w:r>
    </w:p>
    <w:p>
      <w:pPr>
        <w:pStyle w:val="Heading2"/>
        <w:pBdr>
          <w:bottom w:val="single" w:color="2E86C1" w:sz="4" w:space="2"/>
        </w:pBdr>
        <w:spacing w:before="300" w:after="100"/>
      </w:pPr>
      <w:r>
        <w:rPr>
          <w:rFonts w:ascii="Arial" w:cs="Arial" w:eastAsia="Arial" w:hAnsi="Arial"/>
          <w:b/>
          <w:bCs/>
          <w:color w:val="2E86C1"/>
          <w:sz w:val="26"/>
          <w:szCs w:val="26"/>
        </w:rPr>
        <w:t xml:space="preserve">5.7 Editorial Review Interface</w:t>
      </w:r>
    </w:p>
    <w:p>
      <w:pPr>
        <w:spacing w:before="60" w:after="60"/>
      </w:pPr>
      <w:r>
        <w:rPr>
          <w:rFonts w:ascii="Arial" w:cs="Arial" w:eastAsia="Arial" w:hAnsi="Arial"/>
          <w:color w:val="2C3E50"/>
          <w:sz w:val="22"/>
          <w:szCs w:val="22"/>
        </w:rPr>
        <w:t xml:space="preserve">The editor review queue should surface the following alongside each generated explainer: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Item shown to editor</w:t>
            </w:r>
          </w:p>
        </w:tc>
        <w:tc>
          <w:tcPr>
            <w:tcW w:type="dxa" w:w="57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Draft headline + Why it matters line</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Quick sense-check before reading the full explainer</w:t>
            </w:r>
          </w:p>
        </w:tc>
      </w:tr>
      <w:tr>
        <w:tc>
          <w:tcPr>
            <w:tcW w:type="dxa" w:w="36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Tier classification (1/2/3)</w:t>
            </w:r>
          </w:p>
        </w:tc>
        <w:tc>
          <w:tcPr>
            <w:tcW w:type="dxa" w:w="57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Sets expectations for depth</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OzScore and sub-scores</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Helps editor assess whether tier is correct</w:t>
            </w:r>
          </w:p>
        </w:tc>
      </w:tr>
      <w:tr>
        <w:tc>
          <w:tcPr>
            <w:tcW w:type="dxa" w:w="36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Top 2–3 source articles (with links)</w:t>
            </w:r>
          </w:p>
        </w:tc>
        <w:tc>
          <w:tcPr>
            <w:tcW w:type="dxa" w:w="57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Editor can fact-check against source material</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Extracted fact list</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Editor sees what grounding facts the LLM was given</w:t>
            </w:r>
          </w:p>
        </w:tc>
      </w:tr>
      <w:tr>
        <w:tc>
          <w:tcPr>
            <w:tcW w:type="dxa" w:w="36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Draft explainer (full text)</w:t>
            </w:r>
          </w:p>
        </w:tc>
        <w:tc>
          <w:tcPr>
            <w:tcW w:type="dxa" w:w="57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The output to review</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Word count</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Quick compliance check against tier target</w:t>
            </w:r>
          </w:p>
        </w:tc>
      </w:tr>
      <w:tr>
        <w:tc>
          <w:tcPr>
            <w:tcW w:type="dxa" w:w="36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Actions: Approve / Edit / Reject / Demote tier</w:t>
            </w:r>
          </w:p>
        </w:tc>
        <w:tc>
          <w:tcPr>
            <w:tcW w:type="dxa" w:w="57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Editor workflow</w:t>
            </w:r>
          </w:p>
        </w:tc>
      </w:tr>
    </w:tbl>
    <w:p>
      <w:pPr>
        <w:spacing w:before="120"/>
      </w:pPr>
      <w:r>
        <w:t xml:space="preserve"/>
      </w:r>
    </w:p>
    <w:p>
      <w:pPr>
        <w:pBdr>
          <w:bottom w:val="single" w:color="D5D8DC" w:sz="6" w:space="1"/>
        </w:pBdr>
        <w:spacing w:before="240" w:after="240"/>
      </w:pPr>
      <w:r>
        <w:t xml:space="preserve"/>
      </w:r>
    </w:p>
    <w:p>
      <w:pPr>
        <w:pStyle w:val="Heading1"/>
        <w:spacing w:before="400" w:after="140"/>
      </w:pPr>
      <w:r>
        <w:rPr>
          <w:rFonts w:ascii="Arial" w:cs="Arial" w:eastAsia="Arial" w:hAnsi="Arial"/>
          <w:b/>
          <w:bCs/>
          <w:color w:val="1B4F8A"/>
          <w:sz w:val="34"/>
          <w:szCs w:val="34"/>
        </w:rPr>
        <w:t xml:space="preserve">6. Consistency and Product Rules</w:t>
      </w:r>
    </w:p>
    <w:p>
      <w:pPr>
        <w:spacing w:before="60" w:after="60"/>
      </w:pPr>
      <w:r>
        <w:rPr>
          <w:rFonts w:ascii="Arial" w:cs="Arial" w:eastAsia="Arial" w:hAnsi="Arial"/>
          <w:color w:val="2C3E50"/>
          <w:sz w:val="22"/>
          <w:szCs w:val="22"/>
        </w:rPr>
        <w:t xml:space="preserve">The Double Click only works as a product feature if it behaves consistently. These rules are non-negotiable.</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Rule</w:t>
            </w:r>
          </w:p>
        </w:tc>
        <w:tc>
          <w:tcPr>
            <w:tcW w:type="dxa" w:w="6360"/>
            <w:tcBorders>
              <w:top w:val="single" w:color="D5D8DC" w:sz="1"/>
              <w:left w:val="single" w:color="D5D8DC" w:sz="1"/>
              <w:bottom w:val="single" w:color="D5D8DC" w:sz="1"/>
              <w:right w:val="single" w:color="D5D8DC" w:sz="1"/>
            </w:tcBorders>
            <w:shd w:fill="1B4F8A"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Every card has a Double Click</w:t>
            </w:r>
          </w:p>
        </w:tc>
        <w:tc>
          <w:tcPr>
            <w:tcW w:type="dxa" w:w="63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Even Tier 3 stories have an expanded view. No story ends at the card. This creates a predictable habit loop.</w:t>
            </w:r>
          </w:p>
        </w:tc>
      </w:tr>
      <w:tr>
        <w:tc>
          <w:tcPr>
            <w:tcW w:type="dxa" w:w="3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Double Click is always generated from the cluster</w:t>
            </w:r>
          </w:p>
        </w:tc>
        <w:tc>
          <w:tcPr>
            <w:tcW w:type="dxa" w:w="63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Never from a single article. The multi-source synthesis is the product quality baseline.</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The voice is never opinionated</w:t>
            </w:r>
          </w:p>
        </w:tc>
        <w:tc>
          <w:tcPr>
            <w:tcW w:type="dxa" w:w="63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If the editor is tempted to editorialize, that is the signal to cut the sentence entirely.</w:t>
            </w:r>
          </w:p>
        </w:tc>
      </w:tr>
      <w:tr>
        <w:tc>
          <w:tcPr>
            <w:tcW w:type="dxa" w:w="3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Figures must be sourced</w:t>
            </w:r>
          </w:p>
        </w:tc>
        <w:tc>
          <w:tcPr>
            <w:tcW w:type="dxa" w:w="63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Every number in the explainer must trace back to a named source in the fact list. No approximations.</w:t>
            </w:r>
          </w:p>
        </w:tc>
      </w:tr>
      <w:tr>
        <w:tc>
          <w:tcPr>
            <w:tcW w:type="dxa" w:w="30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B4F8A"/>
                <w:sz w:val="20"/>
                <w:szCs w:val="20"/>
              </w:rPr>
              <w:t xml:space="preserve">No promotional content</w:t>
            </w:r>
          </w:p>
        </w:tc>
        <w:tc>
          <w:tcPr>
            <w:tcW w:type="dxa" w:w="63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val="false"/>
                <w:bCs w:val="false"/>
                <w:color w:val="2C3E50"/>
                <w:sz w:val="20"/>
                <w:szCs w:val="20"/>
              </w:rPr>
              <w:t xml:space="preserve">The Double Click never links to, recommends, or mentions any product, financial service, or advertiser.</w:t>
            </w:r>
          </w:p>
        </w:tc>
      </w:tr>
      <w:tr>
        <w:tc>
          <w:tcPr>
            <w:tcW w:type="dxa" w:w="300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bCs/>
                <w:color w:val="1B4F8A"/>
                <w:sz w:val="20"/>
                <w:szCs w:val="20"/>
              </w:rPr>
              <w:t xml:space="preserve">What to watch is always specific</w:t>
            </w:r>
          </w:p>
        </w:tc>
        <w:tc>
          <w:tcPr>
            <w:tcW w:type="dxa" w:w="6360"/>
            <w:tcBorders>
              <w:top w:val="single" w:color="D5D8DC" w:sz="1"/>
              <w:left w:val="single" w:color="D5D8DC" w:sz="1"/>
              <w:bottom w:val="single" w:color="D5D8DC" w:sz="1"/>
              <w:right w:val="single" w:color="D5D8DC" w:sz="1"/>
            </w:tcBorders>
            <w:shd w:fill="EAF2FB" w:val="clear"/>
            <w:tcMar>
              <w:top w:type="dxa" w:w="100"/>
              <w:left w:type="dxa" w:w="120"/>
              <w:bottom w:type="dxa" w:w="100"/>
              <w:right w:type="dxa" w:w="120"/>
            </w:tcMar>
          </w:tcPr>
          <w:p>
            <w:r>
              <w:rPr>
                <w:rFonts w:ascii="Arial" w:cs="Arial" w:eastAsia="Arial" w:hAnsi="Arial"/>
                <w:b w:val="false"/>
                <w:bCs w:val="false"/>
                <w:color w:val="2C3E50"/>
                <w:sz w:val="20"/>
                <w:szCs w:val="20"/>
              </w:rPr>
              <w:t xml:space="preserve">A vague closing line is a failure. Name the data point, the date, or the decision that matters.</w:t>
            </w:r>
          </w:p>
        </w:tc>
      </w:tr>
    </w:tbl>
    <w:p>
      <w:pPr>
        <w:spacing w:before="120"/>
      </w:pPr>
      <w:r>
        <w:t xml:space="preserve"/>
      </w:r>
    </w:p>
    <w:p>
      <w:pPr>
        <w:pBdr>
          <w:bottom w:val="single" w:color="D5D8DC" w:sz="6" w:space="1"/>
        </w:pBdr>
        <w:spacing w:before="240" w:after="240"/>
      </w:pPr>
      <w:r>
        <w:t xml:space="preserve"/>
      </w:r>
    </w:p>
    <w:p>
      <w:pPr>
        <w:spacing w:before="400" w:after="0"/>
        <w:jc w:val="center"/>
      </w:pPr>
      <w:r>
        <w:rPr>
          <w:rFonts w:ascii="Arial" w:cs="Arial" w:eastAsia="Arial" w:hAnsi="Arial"/>
          <w:color w:val="717D7E"/>
          <w:sz w:val="18"/>
          <w:szCs w:val="18"/>
        </w:rPr>
        <w:t xml:space="preserve">OzShorts Double Click Framework  |  wmwtech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B4F8A"/>
      <w:sz w:val="34"/>
      <w:szCs w:val="34"/>
    </w:rPr>
  </w:style>
  <w:style w:type="paragraph" w:styleId="Heading2">
    <w:name w:val="Heading 2"/>
    <w:basedOn w:val="Normal"/>
    <w:next w:val="Normal"/>
    <w:qFormat/>
    <w:pPr>
      <w:spacing w:before="300" w:after="100"/>
      <w:outlineLvl w:val="1"/>
    </w:pPr>
    <w:rPr>
      <w:rFonts w:ascii="Arial" w:cs="Arial" w:eastAsia="Arial" w:hAnsi="Arial"/>
      <w:b/>
      <w:bCs/>
      <w:color w:val="2E86C1"/>
      <w:sz w:val="26"/>
      <w:szCs w:val="26"/>
    </w:rPr>
  </w:style>
  <w:style w:type="paragraph" w:styleId="Heading3">
    <w:name w:val="Heading 3"/>
    <w:basedOn w:val="Normal"/>
    <w:next w:val="Normal"/>
    <w:qFormat/>
    <w:pPr>
      <w:spacing w:before="220" w:after="8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2026-03-22T07:53:15.421Z</dcterms:created>
  <dcterms:modified xsi:type="dcterms:W3CDTF">2026-03-22T07:53:15.422Z</dcterms:modified>
</cp:coreProperties>
</file>

<file path=docProps/custom.xml><?xml version="1.0" encoding="utf-8"?>
<Properties xmlns="http://schemas.openxmlformats.org/officeDocument/2006/custom-properties" xmlns:vt="http://schemas.openxmlformats.org/officeDocument/2006/docPropsVTypes"/>
</file>