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t xml:space="preserve"/>
      </w:r>
    </w:p>
    <w:p>
      <w:pPr>
        <w:spacing w:after="80" w:before="0"/>
        <w:jc w:val="center"/>
      </w:pPr>
      <w:r>
        <w:rPr>
          <w:rFonts w:ascii="Arial" w:cs="Arial" w:eastAsia="Arial" w:hAnsi="Arial"/>
          <w:b/>
          <w:bCs/>
          <w:color w:val="1B3A6B"/>
          <w:sz w:val="68"/>
          <w:szCs w:val="68"/>
        </w:rPr>
        <w:t xml:space="preserve">BANKING CLIENT</w:t>
      </w:r>
    </w:p>
    <w:p>
      <w:pPr>
        <w:spacing w:after="160" w:before="0"/>
        <w:jc w:val="center"/>
      </w:pPr>
      <w:r>
        <w:rPr>
          <w:rFonts w:ascii="Arial" w:cs="Arial" w:eastAsia="Arial" w:hAnsi="Arial"/>
          <w:b/>
          <w:bCs/>
          <w:color w:val="2E75B6"/>
          <w:sz w:val="68"/>
          <w:szCs w:val="68"/>
        </w:rPr>
        <w:t xml:space="preserve">ANALYTICS REPORT</w:t>
      </w:r>
    </w:p>
    <w:p>
      <w:pPr>
        <w:pBdr>
          <w:bottom w:val="single" w:color="17A589" w:sz="14" w:space="8"/>
        </w:pBdr>
        <w:spacing w:after="200" w:before="0"/>
        <w:jc w:val="center"/>
      </w:pPr>
      <w:r>
        <w:t xml:space="preserve"/>
      </w:r>
    </w:p>
    <w:p>
      <w:pPr>
        <w:spacing w:after="120" w:before="0"/>
        <w:jc w:val="center"/>
      </w:pPr>
      <w:r>
        <w:rPr>
          <w:rFonts w:ascii="Arial" w:cs="Arial" w:eastAsia="Arial" w:hAnsi="Arial"/>
          <w:i/>
          <w:iCs/>
          <w:color w:val="2E75B6"/>
          <w:sz w:val="26"/>
          <w:szCs w:val="26"/>
        </w:rPr>
        <w:t xml:space="preserve">Exploratory Data Analysis, SQL Query Documentation &amp; Dashboard Reporting</w:t>
      </w:r>
    </w:p>
    <w:p>
      <w:pPr>
        <w:spacing w:after="600" w:before="0"/>
        <w:jc w:val="center"/>
      </w:pPr>
      <w:r>
        <w:rPr>
          <w:rFonts w:ascii="Arial" w:cs="Arial" w:eastAsia="Arial" w:hAnsi="Arial"/>
          <w:color w:val="7F8C8D"/>
          <w:sz w:val="22"/>
          <w:szCs w:val="22"/>
        </w:rPr>
        <w:t xml:space="preserve">Finance Database  |  2,881 Client Records  |  28 Variables</w:t>
      </w:r>
    </w:p>
    <w:p>
      <w:pPr>
        <w:spacing w:after="100" w:before="0"/>
        <w:jc w:val="center"/>
      </w:pPr>
      <w:r>
        <w:rPr>
          <w:rFonts w:ascii="Arial" w:cs="Arial" w:eastAsia="Arial" w:hAnsi="Arial"/>
          <w:b/>
          <w:bCs/>
          <w:color w:val="7F8C8D"/>
          <w:sz w:val="20"/>
          <w:szCs w:val="20"/>
        </w:rPr>
        <w:t xml:space="preserve">TOOLS USED</w:t>
      </w:r>
    </w:p>
    <w:p>
      <w:pPr>
        <w:spacing w:after="80" w:before="0"/>
        <w:jc w:val="center"/>
      </w:pPr>
      <w:r>
        <w:rPr>
          <w:rFonts w:ascii="Arial" w:cs="Arial" w:eastAsia="Arial" w:hAnsi="Arial"/>
          <w:b/>
          <w:bCs/>
          <w:color w:val="17A589"/>
          <w:sz w:val="28"/>
          <w:szCs w:val="28"/>
        </w:rPr>
        <w:t xml:space="preserve">Python   |   MySQL   |   Power BI</w:t>
      </w:r>
    </w:p>
    <w:p>
      <w:pPr>
        <w:spacing w:after="500" w:before="0"/>
        <w:jc w:val="center"/>
      </w:pPr>
      <w:r>
        <w:rPr>
          <w:rFonts w:ascii="Arial" w:cs="Arial" w:eastAsia="Arial" w:hAnsi="Arial"/>
          <w:color w:val="7F8C8D"/>
          <w:sz w:val="20"/>
          <w:szCs w:val="20"/>
        </w:rPr>
        <w:t xml:space="preserve">pandas  •  numpy  •  seaborn  •  matplotlib</w:t>
      </w:r>
    </w:p>
    <w:p>
      <w:pPr>
        <w:jc w:val="center"/>
      </w:pPr>
      <w:r>
        <w:rPr>
          <w:rFonts w:ascii="Arial" w:cs="Arial" w:eastAsia="Arial" w:hAnsi="Arial"/>
          <w:b/>
          <w:bCs/>
          <w:color w:val="1B3A6B"/>
          <w:sz w:val="24"/>
          <w:szCs w:val="24"/>
        </w:rPr>
        <w:t xml:space="preserve">April 2026</w:t>
      </w:r>
    </w:p>
    <w:p>
      <w:r>
        <w:br w:type="page"/>
      </w:r>
    </w:p>
    <w:p>
      <w:pPr>
        <w:pStyle w:val="Heading1"/>
        <w:pBdr>
          <w:bottom w:val="single" w:color="2E75B6" w:sz="8" w:space="6"/>
        </w:pBdr>
        <w:spacing w:after="160" w:before="400"/>
      </w:pPr>
      <w:r>
        <w:rPr>
          <w:rFonts w:ascii="Arial" w:cs="Arial" w:eastAsia="Arial" w:hAnsi="Arial"/>
          <w:b/>
          <w:bCs/>
          <w:color w:val="1B3A6B"/>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75B6" w:sz="8" w:space="6"/>
        </w:pBdr>
        <w:spacing w:after="160" w:before="400"/>
      </w:pPr>
      <w:r>
        <w:rPr>
          <w:rFonts w:ascii="Arial" w:cs="Arial" w:eastAsia="Arial" w:hAnsi="Arial"/>
          <w:b/>
          <w:bCs/>
          <w:color w:val="1B3A6B"/>
          <w:sz w:val="36"/>
          <w:szCs w:val="36"/>
        </w:rPr>
        <w:t xml:space="preserve">1. Executive Summary</w:t>
      </w:r>
    </w:p>
    <w:p>
      <w:pPr>
        <w:spacing w:after="80" w:before="60"/>
      </w:pPr>
      <w:r>
        <w:rPr>
          <w:rFonts w:ascii="Arial" w:cs="Arial" w:eastAsia="Arial" w:hAnsi="Arial"/>
          <w:color w:val="1A1A2E"/>
          <w:sz w:val="22"/>
          <w:szCs w:val="22"/>
        </w:rPr>
        <w:t xml:space="preserve">This report documents a full-cycle data analytics project conducted on a banking client database of 2,881 records. Three analytical tools were applied in sequence: Python for exploratory data analysis and feature engineering, MySQL for structured query analysis across 15 categories, and Power BI for interactive executive dashboards. The findings cover client demographics, financial behaviour, investment advisor performance, and banking product usage.</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D6E4F0" w:val="clear"/>
            <w:tcMar>
              <w:top w:type="dxa" w:w="160"/>
              <w:left w:type="dxa" w:w="200"/>
              <w:bottom w:type="dxa" w:w="80"/>
              <w:right w:type="dxa" w:w="200"/>
            </w:tcMar>
          </w:tcPr>
          <w:p>
            <w:pPr>
              <w:spacing w:after="20" w:before="40"/>
              <w:jc w:val="center"/>
            </w:pPr>
            <w:r>
              <w:rPr>
                <w:rFonts w:ascii="Arial" w:cs="Arial" w:eastAsia="Arial" w:hAnsi="Arial"/>
                <w:b/>
                <w:bCs/>
                <w:color w:val="1B3A6B"/>
                <w:sz w:val="42"/>
                <w:szCs w:val="42"/>
              </w:rPr>
              <w:t xml:space="preserve">2,881</w:t>
            </w:r>
          </w:p>
          <w:p>
            <w:pPr>
              <w:spacing w:after="60" w:before="0"/>
              <w:jc w:val="center"/>
            </w:pPr>
            <w:r>
              <w:rPr>
                <w:rFonts w:ascii="Arial" w:cs="Arial" w:eastAsia="Arial" w:hAnsi="Arial"/>
                <w:color w:val="2E75B6"/>
                <w:sz w:val="18"/>
                <w:szCs w:val="18"/>
              </w:rPr>
              <w:t xml:space="preserve">Total Clients</w:t>
            </w:r>
          </w:p>
        </w:tc>
        <w:tc>
          <w:tcPr>
            <w:tcW w:type="dxa" w:w="4680"/>
            <w:tcBorders>
              <w:top w:val="single" w:color="2E75B6" w:sz="1"/>
              <w:left w:val="single" w:color="2E75B6" w:sz="1"/>
              <w:bottom w:val="single" w:color="2E75B6" w:sz="1"/>
              <w:right w:val="single" w:color="2E75B6" w:sz="1"/>
            </w:tcBorders>
            <w:shd w:fill="D6E4F0" w:val="clear"/>
            <w:tcMar>
              <w:top w:type="dxa" w:w="160"/>
              <w:left w:type="dxa" w:w="200"/>
              <w:bottom w:type="dxa" w:w="80"/>
              <w:right w:type="dxa" w:w="200"/>
            </w:tcMar>
          </w:tcPr>
          <w:p>
            <w:pPr>
              <w:spacing w:after="20" w:before="40"/>
              <w:jc w:val="center"/>
            </w:pPr>
            <w:r>
              <w:rPr>
                <w:rFonts w:ascii="Arial" w:cs="Arial" w:eastAsia="Arial" w:hAnsi="Arial"/>
                <w:b/>
                <w:bCs/>
                <w:color w:val="1B3A6B"/>
                <w:sz w:val="42"/>
                <w:szCs w:val="42"/>
              </w:rPr>
              <w:t xml:space="preserve">22</w:t>
            </w:r>
          </w:p>
          <w:p>
            <w:pPr>
              <w:spacing w:after="60" w:before="0"/>
              <w:jc w:val="center"/>
            </w:pPr>
            <w:r>
              <w:rPr>
                <w:rFonts w:ascii="Arial" w:cs="Arial" w:eastAsia="Arial" w:hAnsi="Arial"/>
                <w:color w:val="2E75B6"/>
                <w:sz w:val="18"/>
                <w:szCs w:val="18"/>
              </w:rPr>
              <w:t xml:space="preserve">Investment Advisors</w:t>
            </w:r>
          </w:p>
        </w:tc>
      </w:tr>
      <w:tr>
        <w:tc>
          <w:tcPr>
            <w:tcW w:type="dxa" w:w="4680"/>
            <w:tcBorders>
              <w:top w:val="single" w:color="2E75B6" w:sz="1"/>
              <w:left w:val="single" w:color="2E75B6" w:sz="1"/>
              <w:bottom w:val="single" w:color="2E75B6" w:sz="1"/>
              <w:right w:val="single" w:color="2E75B6" w:sz="1"/>
            </w:tcBorders>
            <w:shd w:fill="D6E4F0" w:val="clear"/>
            <w:tcMar>
              <w:top w:type="dxa" w:w="160"/>
              <w:left w:type="dxa" w:w="200"/>
              <w:bottom w:type="dxa" w:w="80"/>
              <w:right w:type="dxa" w:w="200"/>
            </w:tcMar>
          </w:tcPr>
          <w:p>
            <w:pPr>
              <w:spacing w:after="20" w:before="40"/>
              <w:jc w:val="center"/>
            </w:pPr>
            <w:r>
              <w:rPr>
                <w:rFonts w:ascii="Arial" w:cs="Arial" w:eastAsia="Arial" w:hAnsi="Arial"/>
                <w:b/>
                <w:bCs/>
                <w:color w:val="1B3A6B"/>
                <w:sz w:val="42"/>
                <w:szCs w:val="42"/>
              </w:rPr>
              <w:t xml:space="preserve">4</w:t>
            </w:r>
          </w:p>
          <w:p>
            <w:pPr>
              <w:spacing w:after="60" w:before="0"/>
              <w:jc w:val="center"/>
            </w:pPr>
            <w:r>
              <w:rPr>
                <w:rFonts w:ascii="Arial" w:cs="Arial" w:eastAsia="Arial" w:hAnsi="Arial"/>
                <w:color w:val="2E75B6"/>
                <w:sz w:val="18"/>
                <w:szCs w:val="18"/>
              </w:rPr>
              <w:t xml:space="preserve">Banking Relationship Types</w:t>
            </w:r>
          </w:p>
        </w:tc>
        <w:tc>
          <w:tcPr>
            <w:tcW w:type="dxa" w:w="4680"/>
            <w:tcBorders>
              <w:top w:val="single" w:color="2E75B6" w:sz="1"/>
              <w:left w:val="single" w:color="2E75B6" w:sz="1"/>
              <w:bottom w:val="single" w:color="2E75B6" w:sz="1"/>
              <w:right w:val="single" w:color="2E75B6" w:sz="1"/>
            </w:tcBorders>
            <w:shd w:fill="D6E4F0" w:val="clear"/>
            <w:tcMar>
              <w:top w:type="dxa" w:w="160"/>
              <w:left w:type="dxa" w:w="200"/>
              <w:bottom w:type="dxa" w:w="80"/>
              <w:right w:type="dxa" w:w="200"/>
            </w:tcMar>
          </w:tcPr>
          <w:p>
            <w:pPr>
              <w:spacing w:after="20" w:before="40"/>
              <w:jc w:val="center"/>
            </w:pPr>
            <w:r>
              <w:rPr>
                <w:rFonts w:ascii="Arial" w:cs="Arial" w:eastAsia="Arial" w:hAnsi="Arial"/>
                <w:b/>
                <w:bCs/>
                <w:color w:val="1B3A6B"/>
                <w:sz w:val="42"/>
                <w:szCs w:val="42"/>
              </w:rPr>
              <w:t xml:space="preserve">2</w:t>
            </w:r>
          </w:p>
          <w:p>
            <w:pPr>
              <w:spacing w:after="60" w:before="0"/>
              <w:jc w:val="center"/>
            </w:pPr>
            <w:r>
              <w:rPr>
                <w:rFonts w:ascii="Arial" w:cs="Arial" w:eastAsia="Arial" w:hAnsi="Arial"/>
                <w:color w:val="2E75B6"/>
                <w:sz w:val="18"/>
                <w:szCs w:val="18"/>
              </w:rPr>
              <w:t xml:space="preserve">Gender Categories</w:t>
            </w:r>
          </w:p>
        </w:tc>
      </w:tr>
      <w:tr>
        <w:tc>
          <w:tcPr>
            <w:tcW w:type="dxa" w:w="4680"/>
            <w:tcBorders>
              <w:top w:val="single" w:color="2E75B6" w:sz="1"/>
              <w:left w:val="single" w:color="2E75B6" w:sz="1"/>
              <w:bottom w:val="single" w:color="2E75B6" w:sz="1"/>
              <w:right w:val="single" w:color="2E75B6" w:sz="1"/>
            </w:tcBorders>
            <w:shd w:fill="D6E4F0" w:val="clear"/>
            <w:tcMar>
              <w:top w:type="dxa" w:w="160"/>
              <w:left w:type="dxa" w:w="200"/>
              <w:bottom w:type="dxa" w:w="80"/>
              <w:right w:type="dxa" w:w="200"/>
            </w:tcMar>
          </w:tcPr>
          <w:p>
            <w:pPr>
              <w:spacing w:after="20" w:before="40"/>
              <w:jc w:val="center"/>
            </w:pPr>
            <w:r>
              <w:rPr>
                <w:rFonts w:ascii="Arial" w:cs="Arial" w:eastAsia="Arial" w:hAnsi="Arial"/>
                <w:b/>
                <w:bCs/>
                <w:color w:val="1B3A6B"/>
                <w:sz w:val="42"/>
                <w:szCs w:val="42"/>
              </w:rPr>
              <w:t xml:space="preserve">£171,720</w:t>
            </w:r>
          </w:p>
          <w:p>
            <w:pPr>
              <w:spacing w:after="60" w:before="0"/>
              <w:jc w:val="center"/>
            </w:pPr>
            <w:r>
              <w:rPr>
                <w:rFonts w:ascii="Arial" w:cs="Arial" w:eastAsia="Arial" w:hAnsi="Arial"/>
                <w:color w:val="2E75B6"/>
                <w:sz w:val="18"/>
                <w:szCs w:val="18"/>
              </w:rPr>
              <w:t xml:space="preserve">Avg Estimated Income</w:t>
            </w:r>
          </w:p>
        </w:tc>
        <w:tc>
          <w:tcPr>
            <w:tcW w:type="dxa" w:w="4680"/>
            <w:tcBorders>
              <w:top w:val="single" w:color="2E75B6" w:sz="1"/>
              <w:left w:val="single" w:color="2E75B6" w:sz="1"/>
              <w:bottom w:val="single" w:color="2E75B6" w:sz="1"/>
              <w:right w:val="single" w:color="2E75B6" w:sz="1"/>
            </w:tcBorders>
            <w:shd w:fill="D6E4F0" w:val="clear"/>
            <w:tcMar>
              <w:top w:type="dxa" w:w="160"/>
              <w:left w:type="dxa" w:w="200"/>
              <w:bottom w:type="dxa" w:w="80"/>
              <w:right w:type="dxa" w:w="200"/>
            </w:tcMar>
          </w:tcPr>
          <w:p>
            <w:pPr>
              <w:spacing w:after="20" w:before="40"/>
              <w:jc w:val="center"/>
            </w:pPr>
            <w:r>
              <w:rPr>
                <w:rFonts w:ascii="Arial" w:cs="Arial" w:eastAsia="Arial" w:hAnsi="Arial"/>
                <w:b/>
                <w:bCs/>
                <w:color w:val="1B3A6B"/>
                <w:sz w:val="42"/>
                <w:szCs w:val="42"/>
              </w:rPr>
              <w:t xml:space="preserve">£670,232</w:t>
            </w:r>
          </w:p>
          <w:p>
            <w:pPr>
              <w:spacing w:after="60" w:before="0"/>
              <w:jc w:val="center"/>
            </w:pPr>
            <w:r>
              <w:rPr>
                <w:rFonts w:ascii="Arial" w:cs="Arial" w:eastAsia="Arial" w:hAnsi="Arial"/>
                <w:color w:val="2E75B6"/>
                <w:sz w:val="18"/>
                <w:szCs w:val="18"/>
              </w:rPr>
              <w:t xml:space="preserve">Avg Bank Deposits</w:t>
            </w:r>
          </w:p>
        </w:tc>
      </w:tr>
      <w:tr>
        <w:tc>
          <w:tcPr>
            <w:tcW w:type="dxa" w:w="4680"/>
            <w:tcBorders>
              <w:top w:val="single" w:color="2E75B6" w:sz="1"/>
              <w:left w:val="single" w:color="2E75B6" w:sz="1"/>
              <w:bottom w:val="single" w:color="2E75B6" w:sz="1"/>
              <w:right w:val="single" w:color="2E75B6" w:sz="1"/>
            </w:tcBorders>
            <w:shd w:fill="D6E4F0" w:val="clear"/>
            <w:tcMar>
              <w:top w:type="dxa" w:w="160"/>
              <w:left w:type="dxa" w:w="200"/>
              <w:bottom w:type="dxa" w:w="80"/>
              <w:right w:type="dxa" w:w="200"/>
            </w:tcMar>
          </w:tcPr>
          <w:p>
            <w:pPr>
              <w:spacing w:after="20" w:before="40"/>
              <w:jc w:val="center"/>
            </w:pPr>
            <w:r>
              <w:rPr>
                <w:rFonts w:ascii="Arial" w:cs="Arial" w:eastAsia="Arial" w:hAnsi="Arial"/>
                <w:b/>
                <w:bCs/>
                <w:color w:val="1B3A6B"/>
                <w:sz w:val="42"/>
                <w:szCs w:val="42"/>
              </w:rPr>
              <w:t xml:space="preserve">£593,265</w:t>
            </w:r>
          </w:p>
          <w:p>
            <w:pPr>
              <w:spacing w:after="60" w:before="0"/>
              <w:jc w:val="center"/>
            </w:pPr>
            <w:r>
              <w:rPr>
                <w:rFonts w:ascii="Arial" w:cs="Arial" w:eastAsia="Arial" w:hAnsi="Arial"/>
                <w:color w:val="2E75B6"/>
                <w:sz w:val="18"/>
                <w:szCs w:val="18"/>
              </w:rPr>
              <w:t xml:space="preserve">Avg Bank Loans</w:t>
            </w:r>
          </w:p>
        </w:tc>
        <w:tc>
          <w:tcPr>
            <w:tcW w:type="dxa" w:w="4680"/>
            <w:tcBorders>
              <w:top w:val="single" w:color="2E75B6" w:sz="1"/>
              <w:left w:val="single" w:color="2E75B6" w:sz="1"/>
              <w:bottom w:val="single" w:color="2E75B6" w:sz="1"/>
              <w:right w:val="single" w:color="2E75B6" w:sz="1"/>
            </w:tcBorders>
            <w:shd w:fill="D6E4F0" w:val="clear"/>
            <w:tcMar>
              <w:top w:type="dxa" w:w="160"/>
              <w:left w:type="dxa" w:w="200"/>
              <w:bottom w:type="dxa" w:w="80"/>
              <w:right w:type="dxa" w:w="200"/>
            </w:tcMar>
          </w:tcPr>
          <w:p>
            <w:pPr>
              <w:spacing w:after="20" w:before="40"/>
              <w:jc w:val="center"/>
            </w:pPr>
            <w:r>
              <w:rPr>
                <w:rFonts w:ascii="Arial" w:cs="Arial" w:eastAsia="Arial" w:hAnsi="Arial"/>
                <w:b/>
                <w:bCs/>
                <w:color w:val="1B3A6B"/>
                <w:sz w:val="42"/>
                <w:szCs w:val="42"/>
              </w:rPr>
              <w:t xml:space="preserve">£866,569</w:t>
            </w:r>
          </w:p>
          <w:p>
            <w:pPr>
              <w:spacing w:after="60" w:before="0"/>
              <w:jc w:val="center"/>
            </w:pPr>
            <w:r>
              <w:rPr>
                <w:rFonts w:ascii="Arial" w:cs="Arial" w:eastAsia="Arial" w:hAnsi="Arial"/>
                <w:color w:val="2E75B6"/>
                <w:sz w:val="18"/>
                <w:szCs w:val="18"/>
              </w:rPr>
              <w:t xml:space="preserve">Avg Business Lending</w:t>
            </w:r>
          </w:p>
        </w:tc>
      </w:tr>
    </w:tbl>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D6E4F0" w:val="clear"/>
            <w:tcMar>
              <w:top w:type="dxa" w:w="120"/>
              <w:left w:type="dxa" w:w="220"/>
              <w:bottom w:type="dxa" w:w="120"/>
              <w:right w:type="dxa" w:w="220"/>
            </w:tcMar>
          </w:tcPr>
          <w:p>
            <w:r>
              <w:rPr>
                <w:rFonts w:ascii="Arial" w:cs="Arial" w:eastAsia="Arial" w:hAnsi="Arial"/>
                <w:i/>
                <w:iCs/>
                <w:color w:val="1B3A6B"/>
                <w:sz w:val="21"/>
                <w:szCs w:val="21"/>
              </w:rPr>
              <w:t xml:space="preserve">Key Finding: Private Bank is the most popular banking relationship type with 1,286 clients (44.64%). European nationals represent the largest nationality group at 43.63% of the total client base. The gender split is near-equal (Female 50.47% / Male 49.53%). Business Lending carries the highest average balance at £866,569 per client.</w:t>
            </w:r>
          </w:p>
        </w:tc>
      </w:tr>
    </w:tbl>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8"/>
          <w:szCs w:val="28"/>
        </w:rPr>
        <w:t xml:space="preserve">1.1 Project Objectives</w:t>
      </w:r>
    </w:p>
    <w:p>
      <w:pPr>
        <w:pStyle w:val="ListParagraph"/>
        <w:numPr>
          <w:ilvl w:val="0"/>
          <w:numId w:val="2"/>
        </w:numPr>
        <w:spacing w:after="40" w:before="40"/>
      </w:pPr>
      <w:r>
        <w:rPr>
          <w:rFonts w:ascii="Arial" w:cs="Arial" w:eastAsia="Arial" w:hAnsi="Arial"/>
          <w:color w:val="1A1A2E"/>
          <w:sz w:val="22"/>
          <w:szCs w:val="22"/>
        </w:rPr>
        <w:t xml:space="preserve">Profile 2,881 clients across nationality, gender, age, occupation, loyalty tier, fee structure, and risk weighting.</w:t>
      </w:r>
    </w:p>
    <w:p>
      <w:pPr>
        <w:pStyle w:val="ListParagraph"/>
        <w:numPr>
          <w:ilvl w:val="0"/>
          <w:numId w:val="2"/>
        </w:numPr>
        <w:spacing w:after="40" w:before="40"/>
      </w:pPr>
      <w:r>
        <w:rPr>
          <w:rFonts w:ascii="Arial" w:cs="Arial" w:eastAsia="Arial" w:hAnsi="Arial"/>
          <w:color w:val="1A1A2E"/>
          <w:sz w:val="22"/>
          <w:szCs w:val="22"/>
        </w:rPr>
        <w:t xml:space="preserve">Analyse financial behaviour across 9 numerical variables: estimated income, superannuation savings, credit card balance, bank loans, bank deposits, checking accounts, saving accounts, foreign currency account, and business lending.</w:t>
      </w:r>
    </w:p>
    <w:p>
      <w:pPr>
        <w:pStyle w:val="ListParagraph"/>
        <w:numPr>
          <w:ilvl w:val="0"/>
          <w:numId w:val="2"/>
        </w:numPr>
        <w:spacing w:after="40" w:before="40"/>
      </w:pPr>
      <w:r>
        <w:rPr>
          <w:rFonts w:ascii="Arial" w:cs="Arial" w:eastAsia="Arial" w:hAnsi="Arial"/>
          <w:color w:val="1A1A2E"/>
          <w:sz w:val="22"/>
          <w:szCs w:val="22"/>
        </w:rPr>
        <w:t xml:space="preserve">Evaluate all 22 investment advisors by client count, portfolio size, market share, and demographic diversity metrics.</w:t>
      </w:r>
    </w:p>
    <w:p>
      <w:pPr>
        <w:pStyle w:val="ListParagraph"/>
        <w:numPr>
          <w:ilvl w:val="0"/>
          <w:numId w:val="2"/>
        </w:numPr>
        <w:spacing w:after="40" w:before="40"/>
      </w:pPr>
      <w:r>
        <w:rPr>
          <w:rFonts w:ascii="Arial" w:cs="Arial" w:eastAsia="Arial" w:hAnsi="Arial"/>
          <w:color w:val="1A1A2E"/>
          <w:sz w:val="22"/>
          <w:szCs w:val="22"/>
        </w:rPr>
        <w:t xml:space="preserve">Identify correlations, outliers, and distributional patterns across the numerical data.</w:t>
      </w:r>
    </w:p>
    <w:p>
      <w:pPr>
        <w:pStyle w:val="ListParagraph"/>
        <w:numPr>
          <w:ilvl w:val="0"/>
          <w:numId w:val="2"/>
        </w:numPr>
        <w:spacing w:after="40" w:before="40"/>
      </w:pPr>
      <w:r>
        <w:rPr>
          <w:rFonts w:ascii="Arial" w:cs="Arial" w:eastAsia="Arial" w:hAnsi="Arial"/>
          <w:color w:val="1A1A2E"/>
          <w:sz w:val="22"/>
          <w:szCs w:val="22"/>
        </w:rPr>
        <w:t xml:space="preserve">Engineer three derived features: Income Band (Low / Medium / High), debt_to_income ratio, and savings_ratio.</w:t>
      </w:r>
    </w:p>
    <w:p>
      <w:pPr>
        <w:pStyle w:val="ListParagraph"/>
        <w:numPr>
          <w:ilvl w:val="0"/>
          <w:numId w:val="2"/>
        </w:numPr>
        <w:spacing w:after="40" w:before="40"/>
      </w:pPr>
      <w:r>
        <w:rPr>
          <w:rFonts w:ascii="Arial" w:cs="Arial" w:eastAsia="Arial" w:hAnsi="Arial"/>
          <w:color w:val="1A1A2E"/>
          <w:sz w:val="22"/>
          <w:szCs w:val="22"/>
        </w:rPr>
        <w:t xml:space="preserve">Write 115 unique SQL queries (numbered 1–120, with queries 51–55 absent and queries 82–85 duplicated in the file) across 15 analytical sections.</w:t>
      </w:r>
    </w:p>
    <w:p>
      <w:pPr>
        <w:pStyle w:val="ListParagraph"/>
        <w:numPr>
          <w:ilvl w:val="0"/>
          <w:numId w:val="2"/>
        </w:numPr>
        <w:spacing w:after="40" w:before="40"/>
      </w:pPr>
      <w:r>
        <w:rPr>
          <w:rFonts w:ascii="Arial" w:cs="Arial" w:eastAsia="Arial" w:hAnsi="Arial"/>
          <w:color w:val="1A1A2E"/>
          <w:sz w:val="22"/>
          <w:szCs w:val="22"/>
        </w:rPr>
        <w:t xml:space="preserve">Deliver a Power BI dashboard for interactive executive reporting.</w:t>
      </w:r>
    </w:p>
    <w:p>
      <w:r>
        <w:br w:type="page"/>
      </w:r>
    </w:p>
    <w:p>
      <w:pPr>
        <w:pStyle w:val="Heading1"/>
        <w:pBdr>
          <w:bottom w:val="single" w:color="2E75B6" w:sz="8" w:space="6"/>
        </w:pBdr>
        <w:spacing w:after="160" w:before="400"/>
      </w:pPr>
      <w:r>
        <w:rPr>
          <w:rFonts w:ascii="Arial" w:cs="Arial" w:eastAsia="Arial" w:hAnsi="Arial"/>
          <w:b/>
          <w:bCs/>
          <w:color w:val="1B3A6B"/>
          <w:sz w:val="36"/>
          <w:szCs w:val="36"/>
        </w:rPr>
        <w:t xml:space="preserve">2. Project Overview</w:t>
      </w:r>
    </w:p>
    <w:p>
      <w:pPr>
        <w:pStyle w:val="Heading2"/>
        <w:spacing w:after="120" w:before="280"/>
      </w:pPr>
      <w:r>
        <w:rPr>
          <w:rFonts w:ascii="Arial" w:cs="Arial" w:eastAsia="Arial" w:hAnsi="Arial"/>
          <w:b/>
          <w:bCs/>
          <w:color w:val="2E75B6"/>
          <w:sz w:val="28"/>
          <w:szCs w:val="28"/>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Tool / Library</w:t>
            </w:r>
          </w:p>
        </w:tc>
        <w:tc>
          <w:tcPr>
            <w:tcW w:type="dxa" w:w="400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Role</w:t>
            </w:r>
          </w:p>
        </w:tc>
        <w:tc>
          <w:tcPr>
            <w:tcW w:type="dxa" w:w="316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Deliverable</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Python 3</w:t>
            </w:r>
          </w:p>
        </w:tc>
        <w:tc>
          <w:tcPr>
            <w:tcW w:type="dxa" w:w="4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EDA, data cleaning, visualisation, feature engineering</w:t>
            </w:r>
          </w:p>
        </w:tc>
        <w:tc>
          <w:tcPr>
            <w:tcW w:type="dxa" w:w="3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eda_python.ipynb</w:t>
            </w:r>
          </w:p>
        </w:tc>
      </w:tr>
      <w:tr>
        <w:tc>
          <w:tcPr>
            <w:tcW w:type="dxa" w:w="22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pandas</w:t>
            </w:r>
          </w:p>
        </w:tc>
        <w:tc>
          <w:tcPr>
            <w:tcW w:type="dxa" w:w="40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Data loading, manipulation, groupby, pd.cut()</w:t>
            </w:r>
          </w:p>
        </w:tc>
        <w:tc>
          <w:tcPr>
            <w:tcW w:type="dxa" w:w="31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eda_python.ipynb</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numpy</w:t>
            </w:r>
          </w:p>
        </w:tc>
        <w:tc>
          <w:tcPr>
            <w:tcW w:type="dxa" w:w="4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Numerical array operations</w:t>
            </w:r>
          </w:p>
        </w:tc>
        <w:tc>
          <w:tcPr>
            <w:tcW w:type="dxa" w:w="3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eda_python.ipynb</w:t>
            </w:r>
          </w:p>
        </w:tc>
      </w:tr>
      <w:tr>
        <w:tc>
          <w:tcPr>
            <w:tcW w:type="dxa" w:w="22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seaborn</w:t>
            </w:r>
          </w:p>
        </w:tc>
        <w:tc>
          <w:tcPr>
            <w:tcW w:type="dxa" w:w="40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Statistical plots — countplots, histplots, heatmap, boxplots, pairplot</w:t>
            </w:r>
          </w:p>
        </w:tc>
        <w:tc>
          <w:tcPr>
            <w:tcW w:type="dxa" w:w="31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eda_python.ipynb</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matplotlib</w:t>
            </w:r>
          </w:p>
        </w:tc>
        <w:tc>
          <w:tcPr>
            <w:tcW w:type="dxa" w:w="4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Figure management, subplots, layout</w:t>
            </w:r>
          </w:p>
        </w:tc>
        <w:tc>
          <w:tcPr>
            <w:tcW w:type="dxa" w:w="3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eda_python.ipynb</w:t>
            </w:r>
          </w:p>
        </w:tc>
      </w:tr>
      <w:tr>
        <w:tc>
          <w:tcPr>
            <w:tcW w:type="dxa" w:w="22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MySQL</w:t>
            </w:r>
          </w:p>
        </w:tc>
        <w:tc>
          <w:tcPr>
            <w:tcW w:type="dxa" w:w="40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Relational queries, aggregations, window functions, CTEs</w:t>
            </w:r>
          </w:p>
        </w:tc>
        <w:tc>
          <w:tcPr>
            <w:tcW w:type="dxa" w:w="31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eda_mysql.sql</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Power BI</w:t>
            </w:r>
          </w:p>
        </w:tc>
        <w:tc>
          <w:tcPr>
            <w:tcW w:type="dxa" w:w="4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Interactive dashboard and executive KPI reporting</w:t>
            </w:r>
          </w:p>
        </w:tc>
        <w:tc>
          <w:tcPr>
            <w:tcW w:type="dxa" w:w="3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banking_dashboard.pbix</w:t>
            </w:r>
          </w:p>
        </w:tc>
      </w:tr>
    </w:tbl>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8"/>
          <w:szCs w:val="28"/>
        </w:rPr>
        <w:t xml:space="preserve">2.2 Project Workflow</w:t>
      </w:r>
    </w:p>
    <w:p>
      <w:pPr>
        <w:pStyle w:val="ListParagraph"/>
        <w:numPr>
          <w:ilvl w:val="0"/>
          <w:numId w:val="2"/>
        </w:numPr>
        <w:spacing w:after="40" w:before="40"/>
      </w:pPr>
      <w:r>
        <w:rPr>
          <w:rFonts w:ascii="Arial" w:cs="Arial" w:eastAsia="Arial" w:hAnsi="Arial"/>
          <w:color w:val="1A1A2E"/>
          <w:sz w:val="22"/>
          <w:szCs w:val="22"/>
        </w:rPr>
        <w:t xml:space="preserve">Step 1 — Data Ingestion: Four CSV files loaded into pandas and imported into a MySQL database named finance.</w:t>
      </w:r>
    </w:p>
    <w:p>
      <w:pPr>
        <w:pStyle w:val="ListParagraph"/>
        <w:numPr>
          <w:ilvl w:val="0"/>
          <w:numId w:val="2"/>
        </w:numPr>
        <w:spacing w:after="40" w:before="40"/>
      </w:pPr>
      <w:r>
        <w:rPr>
          <w:rFonts w:ascii="Arial" w:cs="Arial" w:eastAsia="Arial" w:hAnsi="Arial"/>
          <w:color w:val="1A1A2E"/>
          <w:sz w:val="22"/>
          <w:szCs w:val="22"/>
        </w:rPr>
        <w:t xml:space="preserve">Step 2 — Data Cleaning: Column names normalised (spaces replaced with underscores via list comprehension), data types validated, duplicates and null values confirmed absent.</w:t>
      </w:r>
    </w:p>
    <w:p>
      <w:pPr>
        <w:pStyle w:val="ListParagraph"/>
        <w:numPr>
          <w:ilvl w:val="0"/>
          <w:numId w:val="2"/>
        </w:numPr>
        <w:spacing w:after="40" w:before="40"/>
      </w:pPr>
      <w:r>
        <w:rPr>
          <w:rFonts w:ascii="Arial" w:cs="Arial" w:eastAsia="Arial" w:hAnsi="Arial"/>
          <w:color w:val="1A1A2E"/>
          <w:sz w:val="22"/>
          <w:szCs w:val="22"/>
        </w:rPr>
        <w:t xml:space="preserve">Step 3 — Feature Engineering: Income Band created via pd.cut() with bins [0, 100,000, 300,000, ∞]; debt_to_income and savings_ratio computed as new columns appended to the dataframe.</w:t>
      </w:r>
    </w:p>
    <w:p>
      <w:pPr>
        <w:pStyle w:val="ListParagraph"/>
        <w:numPr>
          <w:ilvl w:val="0"/>
          <w:numId w:val="2"/>
        </w:numPr>
        <w:spacing w:after="40" w:before="40"/>
      </w:pPr>
      <w:r>
        <w:rPr>
          <w:rFonts w:ascii="Arial" w:cs="Arial" w:eastAsia="Arial" w:hAnsi="Arial"/>
          <w:color w:val="1A1A2E"/>
          <w:sz w:val="22"/>
          <w:szCs w:val="22"/>
        </w:rPr>
        <w:t xml:space="preserve">Step 4 — Python EDA: Univariate, bivariate, and multivariate analysis using countplots, histplots, boxplots, a correlation heatmap, and a pairplot.</w:t>
      </w:r>
    </w:p>
    <w:p>
      <w:pPr>
        <w:pStyle w:val="ListParagraph"/>
        <w:numPr>
          <w:ilvl w:val="0"/>
          <w:numId w:val="2"/>
        </w:numPr>
        <w:spacing w:after="40" w:before="40"/>
      </w:pPr>
      <w:r>
        <w:rPr>
          <w:rFonts w:ascii="Arial" w:cs="Arial" w:eastAsia="Arial" w:hAnsi="Arial"/>
          <w:color w:val="1A1A2E"/>
          <w:sz w:val="22"/>
          <w:szCs w:val="22"/>
        </w:rPr>
        <w:t xml:space="preserve">Step 5 — SQL Analysis: 115 unique queries (numbered 1–120, with queries 51–55 absent and queries 82–85 duplicated) across 15 analytical sections.</w:t>
      </w:r>
    </w:p>
    <w:p>
      <w:pPr>
        <w:pStyle w:val="ListParagraph"/>
        <w:numPr>
          <w:ilvl w:val="0"/>
          <w:numId w:val="2"/>
        </w:numPr>
        <w:spacing w:after="40" w:before="40"/>
      </w:pPr>
      <w:r>
        <w:rPr>
          <w:rFonts w:ascii="Arial" w:cs="Arial" w:eastAsia="Arial" w:hAnsi="Arial"/>
          <w:color w:val="1A1A2E"/>
          <w:sz w:val="22"/>
          <w:szCs w:val="22"/>
        </w:rPr>
        <w:t xml:space="preserve">Step 6 — Power BI Dashboard: Connected to the cleaned CSV output; interactive visuals built for demographic, financial, and advisor analysis.</w:t>
      </w:r>
    </w:p>
    <w:p>
      <w:pPr>
        <w:pStyle w:val="ListParagraph"/>
        <w:numPr>
          <w:ilvl w:val="0"/>
          <w:numId w:val="2"/>
        </w:numPr>
        <w:spacing w:after="40" w:before="40"/>
      </w:pPr>
      <w:r>
        <w:rPr>
          <w:rFonts w:ascii="Arial" w:cs="Arial" w:eastAsia="Arial" w:hAnsi="Arial"/>
          <w:color w:val="1A1A2E"/>
          <w:sz w:val="22"/>
          <w:szCs w:val="22"/>
        </w:rPr>
        <w:t xml:space="preserve">Step 7 — Report: This document consolidates all methodology, findings, and recommendations.</w:t>
      </w:r>
    </w:p>
    <w:p>
      <w:r>
        <w:br w:type="page"/>
      </w:r>
    </w:p>
    <w:p>
      <w:pPr>
        <w:pStyle w:val="Heading1"/>
        <w:pBdr>
          <w:bottom w:val="single" w:color="2E75B6" w:sz="8" w:space="6"/>
        </w:pBdr>
        <w:spacing w:after="160" w:before="400"/>
      </w:pPr>
      <w:r>
        <w:rPr>
          <w:rFonts w:ascii="Arial" w:cs="Arial" w:eastAsia="Arial" w:hAnsi="Arial"/>
          <w:b/>
          <w:bCs/>
          <w:color w:val="1B3A6B"/>
          <w:sz w:val="36"/>
          <w:szCs w:val="36"/>
        </w:rPr>
        <w:t xml:space="preserve">3. Dataset Description</w:t>
      </w:r>
    </w:p>
    <w:p>
      <w:pPr>
        <w:spacing w:after="80" w:before="60"/>
      </w:pPr>
      <w:r>
        <w:rPr>
          <w:rFonts w:ascii="Arial" w:cs="Arial" w:eastAsia="Arial" w:hAnsi="Arial"/>
          <w:color w:val="1A1A2E"/>
          <w:sz w:val="22"/>
          <w:szCs w:val="22"/>
        </w:rPr>
        <w:t xml:space="preserve">The project uses four relational CSV files mirrored in a MySQL database named finance. The clients table is the primary fact table; the remaining three are dimension lookup tables linked via foreign keys.</w:t>
      </w:r>
    </w:p>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8"/>
          <w:szCs w:val="28"/>
        </w:rPr>
        <w:t xml:space="preserve">3.1 Primary Table: clients.csv</w:t>
      </w:r>
    </w:p>
    <w:p>
      <w:pPr>
        <w:spacing w:after="80" w:before="60"/>
      </w:pPr>
      <w:r>
        <w:rPr>
          <w:rFonts w:ascii="Arial" w:cs="Arial" w:eastAsia="Arial" w:hAnsi="Arial"/>
          <w:color w:val="1A1A2E"/>
          <w:sz w:val="22"/>
          <w:szCs w:val="22"/>
        </w:rPr>
        <w:t xml:space="preserve">2,881 rows × 28 columns. Includes client demographics, financial account balances, and three derived/engineered columns added during the Python EDA.</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300"/>
        <w:gridCol w:w="5060"/>
      </w:tblGrid>
      <w:tr>
        <w:tc>
          <w:tcPr>
            <w:tcW w:type="dxa" w:w="50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t>
            </w:r>
          </w:p>
        </w:tc>
        <w:tc>
          <w:tcPr>
            <w:tcW w:type="dxa" w:w="250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Column Name</w:t>
            </w:r>
          </w:p>
        </w:tc>
        <w:tc>
          <w:tcPr>
            <w:tcW w:type="dxa" w:w="130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Data Type</w:t>
            </w:r>
          </w:p>
        </w:tc>
        <w:tc>
          <w:tcPr>
            <w:tcW w:type="dxa" w:w="506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w:t>
            </w:r>
          </w:p>
        </w:tc>
        <w:tc>
          <w:tcPr>
            <w:tcW w:type="dxa" w:w="2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Client_ID</w:t>
            </w:r>
          </w:p>
        </w:tc>
        <w:tc>
          <w:tcPr>
            <w:tcW w:type="dxa" w:w="13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VARCHAR</w:t>
            </w:r>
          </w:p>
        </w:tc>
        <w:tc>
          <w:tcPr>
            <w:tcW w:type="dxa" w:w="50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Unique client identifier (e.g. IND81288)</w:t>
            </w:r>
          </w:p>
        </w:tc>
      </w:tr>
      <w:tr>
        <w:tc>
          <w:tcPr>
            <w:tcW w:type="dxa" w:w="5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2</w:t>
            </w:r>
          </w:p>
        </w:tc>
        <w:tc>
          <w:tcPr>
            <w:tcW w:type="dxa" w:w="25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Name</w:t>
            </w:r>
          </w:p>
        </w:tc>
        <w:tc>
          <w:tcPr>
            <w:tcW w:type="dxa" w:w="13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VARCHAR</w:t>
            </w:r>
          </w:p>
        </w:tc>
        <w:tc>
          <w:tcPr>
            <w:tcW w:type="dxa" w:w="50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Full client name</w:t>
            </w:r>
          </w:p>
        </w:tc>
      </w:tr>
      <w:tr>
        <w:tc>
          <w:tcPr>
            <w:tcW w:type="dxa" w:w="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3</w:t>
            </w:r>
          </w:p>
        </w:tc>
        <w:tc>
          <w:tcPr>
            <w:tcW w:type="dxa" w:w="2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Age</w:t>
            </w:r>
          </w:p>
        </w:tc>
        <w:tc>
          <w:tcPr>
            <w:tcW w:type="dxa" w:w="13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INT</w:t>
            </w:r>
          </w:p>
        </w:tc>
        <w:tc>
          <w:tcPr>
            <w:tcW w:type="dxa" w:w="50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Client age — range: 17 to 85, average: 50.98</w:t>
            </w:r>
          </w:p>
        </w:tc>
      </w:tr>
      <w:tr>
        <w:tc>
          <w:tcPr>
            <w:tcW w:type="dxa" w:w="5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4</w:t>
            </w:r>
          </w:p>
        </w:tc>
        <w:tc>
          <w:tcPr>
            <w:tcW w:type="dxa" w:w="25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Location_ID</w:t>
            </w:r>
          </w:p>
        </w:tc>
        <w:tc>
          <w:tcPr>
            <w:tcW w:type="dxa" w:w="13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INT</w:t>
            </w:r>
          </w:p>
        </w:tc>
        <w:tc>
          <w:tcPr>
            <w:tcW w:type="dxa" w:w="50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Numeric location reference code</w:t>
            </w:r>
          </w:p>
        </w:tc>
      </w:tr>
      <w:tr>
        <w:tc>
          <w:tcPr>
            <w:tcW w:type="dxa" w:w="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5</w:t>
            </w:r>
          </w:p>
        </w:tc>
        <w:tc>
          <w:tcPr>
            <w:tcW w:type="dxa" w:w="2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Joined_Bank</w:t>
            </w:r>
          </w:p>
        </w:tc>
        <w:tc>
          <w:tcPr>
            <w:tcW w:type="dxa" w:w="13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DATE</w:t>
            </w:r>
          </w:p>
        </w:tc>
        <w:tc>
          <w:tcPr>
            <w:tcW w:type="dxa" w:w="50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Date client joined the bank (DD-MM-YYYY format)</w:t>
            </w:r>
          </w:p>
        </w:tc>
      </w:tr>
      <w:tr>
        <w:tc>
          <w:tcPr>
            <w:tcW w:type="dxa" w:w="5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6</w:t>
            </w:r>
          </w:p>
        </w:tc>
        <w:tc>
          <w:tcPr>
            <w:tcW w:type="dxa" w:w="25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Banking_Contact</w:t>
            </w:r>
          </w:p>
        </w:tc>
        <w:tc>
          <w:tcPr>
            <w:tcW w:type="dxa" w:w="13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VARCHAR</w:t>
            </w:r>
          </w:p>
        </w:tc>
        <w:tc>
          <w:tcPr>
            <w:tcW w:type="dxa" w:w="50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Assigned relationship manager name</w:t>
            </w:r>
          </w:p>
        </w:tc>
      </w:tr>
      <w:tr>
        <w:tc>
          <w:tcPr>
            <w:tcW w:type="dxa" w:w="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7</w:t>
            </w:r>
          </w:p>
        </w:tc>
        <w:tc>
          <w:tcPr>
            <w:tcW w:type="dxa" w:w="2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Nationality</w:t>
            </w:r>
          </w:p>
        </w:tc>
        <w:tc>
          <w:tcPr>
            <w:tcW w:type="dxa" w:w="13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VARCHAR</w:t>
            </w:r>
          </w:p>
        </w:tc>
        <w:tc>
          <w:tcPr>
            <w:tcW w:type="dxa" w:w="50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5 categories: European, Asian, American, Australian, African</w:t>
            </w:r>
          </w:p>
        </w:tc>
      </w:tr>
      <w:tr>
        <w:tc>
          <w:tcPr>
            <w:tcW w:type="dxa" w:w="5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8</w:t>
            </w:r>
          </w:p>
        </w:tc>
        <w:tc>
          <w:tcPr>
            <w:tcW w:type="dxa" w:w="25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Occupation</w:t>
            </w:r>
          </w:p>
        </w:tc>
        <w:tc>
          <w:tcPr>
            <w:tcW w:type="dxa" w:w="13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VARCHAR</w:t>
            </w:r>
          </w:p>
        </w:tc>
        <w:tc>
          <w:tcPr>
            <w:tcW w:type="dxa" w:w="50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Client job title — 195 unique occupations in dataset</w:t>
            </w:r>
          </w:p>
        </w:tc>
      </w:tr>
      <w:tr>
        <w:tc>
          <w:tcPr>
            <w:tcW w:type="dxa" w:w="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9</w:t>
            </w:r>
          </w:p>
        </w:tc>
        <w:tc>
          <w:tcPr>
            <w:tcW w:type="dxa" w:w="2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Fee_Structure</w:t>
            </w:r>
          </w:p>
        </w:tc>
        <w:tc>
          <w:tcPr>
            <w:tcW w:type="dxa" w:w="13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VARCHAR</w:t>
            </w:r>
          </w:p>
        </w:tc>
        <w:tc>
          <w:tcPr>
            <w:tcW w:type="dxa" w:w="50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Fee band: High / Mid / Low</w:t>
            </w:r>
          </w:p>
        </w:tc>
      </w:tr>
      <w:tr>
        <w:tc>
          <w:tcPr>
            <w:tcW w:type="dxa" w:w="5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10</w:t>
            </w:r>
          </w:p>
        </w:tc>
        <w:tc>
          <w:tcPr>
            <w:tcW w:type="dxa" w:w="25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Loyalty_Classification</w:t>
            </w:r>
          </w:p>
        </w:tc>
        <w:tc>
          <w:tcPr>
            <w:tcW w:type="dxa" w:w="13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VARCHAR</w:t>
            </w:r>
          </w:p>
        </w:tc>
        <w:tc>
          <w:tcPr>
            <w:tcW w:type="dxa" w:w="50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Loyalty tier: Jade / Silver / Gold / Platinum</w:t>
            </w:r>
          </w:p>
        </w:tc>
      </w:tr>
      <w:tr>
        <w:tc>
          <w:tcPr>
            <w:tcW w:type="dxa" w:w="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11</w:t>
            </w:r>
          </w:p>
        </w:tc>
        <w:tc>
          <w:tcPr>
            <w:tcW w:type="dxa" w:w="2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Estimated_Income</w:t>
            </w:r>
          </w:p>
        </w:tc>
        <w:tc>
          <w:tcPr>
            <w:tcW w:type="dxa" w:w="13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DECIMAL</w:t>
            </w:r>
          </w:p>
        </w:tc>
        <w:tc>
          <w:tcPr>
            <w:tcW w:type="dxa" w:w="50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Annual estimated income — avg £171,719.96 (range: £15,919.48 – £521,159.98)</w:t>
            </w:r>
          </w:p>
        </w:tc>
      </w:tr>
      <w:tr>
        <w:tc>
          <w:tcPr>
            <w:tcW w:type="dxa" w:w="5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12</w:t>
            </w:r>
          </w:p>
        </w:tc>
        <w:tc>
          <w:tcPr>
            <w:tcW w:type="dxa" w:w="25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Superannuation_Savings</w:t>
            </w:r>
          </w:p>
        </w:tc>
        <w:tc>
          <w:tcPr>
            <w:tcW w:type="dxa" w:w="13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DECIMAL</w:t>
            </w:r>
          </w:p>
        </w:tc>
        <w:tc>
          <w:tcPr>
            <w:tcW w:type="dxa" w:w="50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Retirement savings balance — avg £25,558.28 (range: £1,482.03 – £75,963.90)</w:t>
            </w:r>
          </w:p>
        </w:tc>
      </w:tr>
      <w:tr>
        <w:tc>
          <w:tcPr>
            <w:tcW w:type="dxa" w:w="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13</w:t>
            </w:r>
          </w:p>
        </w:tc>
        <w:tc>
          <w:tcPr>
            <w:tcW w:type="dxa" w:w="2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Amount_of_Credit_Cards</w:t>
            </w:r>
          </w:p>
        </w:tc>
        <w:tc>
          <w:tcPr>
            <w:tcW w:type="dxa" w:w="13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INT</w:t>
            </w:r>
          </w:p>
        </w:tc>
        <w:tc>
          <w:tcPr>
            <w:tcW w:type="dxa" w:w="50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Number of credit cards held: 1 (63.94%), 2 (25.58%), 3 (10.48%)</w:t>
            </w:r>
          </w:p>
        </w:tc>
      </w:tr>
      <w:tr>
        <w:tc>
          <w:tcPr>
            <w:tcW w:type="dxa" w:w="5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14</w:t>
            </w:r>
          </w:p>
        </w:tc>
        <w:tc>
          <w:tcPr>
            <w:tcW w:type="dxa" w:w="25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Credit_Card_Balance</w:t>
            </w:r>
          </w:p>
        </w:tc>
        <w:tc>
          <w:tcPr>
            <w:tcW w:type="dxa" w:w="13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DECIMAL</w:t>
            </w:r>
          </w:p>
        </w:tc>
        <w:tc>
          <w:tcPr>
            <w:tcW w:type="dxa" w:w="50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Outstanding credit card balance — avg £3,181.35 (range: £1.17 – £13,991.99)</w:t>
            </w:r>
          </w:p>
        </w:tc>
      </w:tr>
      <w:tr>
        <w:tc>
          <w:tcPr>
            <w:tcW w:type="dxa" w:w="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15</w:t>
            </w:r>
          </w:p>
        </w:tc>
        <w:tc>
          <w:tcPr>
            <w:tcW w:type="dxa" w:w="2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Bank_Loans</w:t>
            </w:r>
          </w:p>
        </w:tc>
        <w:tc>
          <w:tcPr>
            <w:tcW w:type="dxa" w:w="13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DECIMAL</w:t>
            </w:r>
          </w:p>
        </w:tc>
        <w:tc>
          <w:tcPr>
            <w:tcW w:type="dxa" w:w="50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Total bank loan obligations — avg £593,264.90 (range: £0 – £2,667,556.66)</w:t>
            </w:r>
          </w:p>
        </w:tc>
      </w:tr>
      <w:tr>
        <w:tc>
          <w:tcPr>
            <w:tcW w:type="dxa" w:w="5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16</w:t>
            </w:r>
          </w:p>
        </w:tc>
        <w:tc>
          <w:tcPr>
            <w:tcW w:type="dxa" w:w="25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Bank_Deposits</w:t>
            </w:r>
          </w:p>
        </w:tc>
        <w:tc>
          <w:tcPr>
            <w:tcW w:type="dxa" w:w="13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DECIMAL</w:t>
            </w:r>
          </w:p>
        </w:tc>
        <w:tc>
          <w:tcPr>
            <w:tcW w:type="dxa" w:w="50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Total bank deposit balance — avg £670,232.11 (range: £0 – £3,890,598.08)</w:t>
            </w:r>
          </w:p>
        </w:tc>
      </w:tr>
      <w:tr>
        <w:tc>
          <w:tcPr>
            <w:tcW w:type="dxa" w:w="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17</w:t>
            </w:r>
          </w:p>
        </w:tc>
        <w:tc>
          <w:tcPr>
            <w:tcW w:type="dxa" w:w="2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Checking_Accounts</w:t>
            </w:r>
          </w:p>
        </w:tc>
        <w:tc>
          <w:tcPr>
            <w:tcW w:type="dxa" w:w="13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DECIMAL</w:t>
            </w:r>
          </w:p>
        </w:tc>
        <w:tc>
          <w:tcPr>
            <w:tcW w:type="dxa" w:w="50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Checking account balance — avg £319,955.05 (range: £0 – £1,969,923.08)</w:t>
            </w:r>
          </w:p>
        </w:tc>
      </w:tr>
      <w:tr>
        <w:tc>
          <w:tcPr>
            <w:tcW w:type="dxa" w:w="5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18</w:t>
            </w:r>
          </w:p>
        </w:tc>
        <w:tc>
          <w:tcPr>
            <w:tcW w:type="dxa" w:w="25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Saving_Accounts</w:t>
            </w:r>
          </w:p>
        </w:tc>
        <w:tc>
          <w:tcPr>
            <w:tcW w:type="dxa" w:w="13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DECIMAL</w:t>
            </w:r>
          </w:p>
        </w:tc>
        <w:tc>
          <w:tcPr>
            <w:tcW w:type="dxa" w:w="50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Savings account balance — avg £232,581.28 (range: £0 – £1,724,118.36)</w:t>
            </w:r>
          </w:p>
        </w:tc>
      </w:tr>
      <w:tr>
        <w:tc>
          <w:tcPr>
            <w:tcW w:type="dxa" w:w="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19</w:t>
            </w:r>
          </w:p>
        </w:tc>
        <w:tc>
          <w:tcPr>
            <w:tcW w:type="dxa" w:w="2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Foreign_Currency_Account</w:t>
            </w:r>
          </w:p>
        </w:tc>
        <w:tc>
          <w:tcPr>
            <w:tcW w:type="dxa" w:w="13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DECIMAL</w:t>
            </w:r>
          </w:p>
        </w:tc>
        <w:tc>
          <w:tcPr>
            <w:tcW w:type="dxa" w:w="50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Foreign currency holdings — avg £30,005.21 (range: £45.00 – £124,704.87)</w:t>
            </w:r>
          </w:p>
        </w:tc>
      </w:tr>
      <w:tr>
        <w:tc>
          <w:tcPr>
            <w:tcW w:type="dxa" w:w="5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20</w:t>
            </w:r>
          </w:p>
        </w:tc>
        <w:tc>
          <w:tcPr>
            <w:tcW w:type="dxa" w:w="25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Business_Lending</w:t>
            </w:r>
          </w:p>
        </w:tc>
        <w:tc>
          <w:tcPr>
            <w:tcW w:type="dxa" w:w="13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DECIMAL</w:t>
            </w:r>
          </w:p>
        </w:tc>
        <w:tc>
          <w:tcPr>
            <w:tcW w:type="dxa" w:w="50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Business loan balance — avg £866,569.29 (range: £0 – £3,825,961.94) — highest average balance</w:t>
            </w:r>
          </w:p>
        </w:tc>
      </w:tr>
      <w:tr>
        <w:tc>
          <w:tcPr>
            <w:tcW w:type="dxa" w:w="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21</w:t>
            </w:r>
          </w:p>
        </w:tc>
        <w:tc>
          <w:tcPr>
            <w:tcW w:type="dxa" w:w="2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Properties_Owned</w:t>
            </w:r>
          </w:p>
        </w:tc>
        <w:tc>
          <w:tcPr>
            <w:tcW w:type="dxa" w:w="13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INT</w:t>
            </w:r>
          </w:p>
        </w:tc>
        <w:tc>
          <w:tcPr>
            <w:tcW w:type="dxa" w:w="50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Properties owned: 0 (23.53%), 1 (25.89%), 2 (25.82%), 3 (24.75%) — near-equal spread</w:t>
            </w:r>
          </w:p>
        </w:tc>
      </w:tr>
      <w:tr>
        <w:tc>
          <w:tcPr>
            <w:tcW w:type="dxa" w:w="5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22</w:t>
            </w:r>
          </w:p>
        </w:tc>
        <w:tc>
          <w:tcPr>
            <w:tcW w:type="dxa" w:w="25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Risk_Weighting</w:t>
            </w:r>
          </w:p>
        </w:tc>
        <w:tc>
          <w:tcPr>
            <w:tcW w:type="dxa" w:w="13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INT</w:t>
            </w:r>
          </w:p>
        </w:tc>
        <w:tc>
          <w:tcPr>
            <w:tcW w:type="dxa" w:w="50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Risk level 1–5: Level 1 (27.70%), Level 2 (40.78%), Level 3 (15.38%), Level 4 (10.79%), Level 5 (5.35%)</w:t>
            </w:r>
          </w:p>
        </w:tc>
      </w:tr>
      <w:tr>
        <w:tc>
          <w:tcPr>
            <w:tcW w:type="dxa" w:w="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23</w:t>
            </w:r>
          </w:p>
        </w:tc>
        <w:tc>
          <w:tcPr>
            <w:tcW w:type="dxa" w:w="2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BRId</w:t>
            </w:r>
          </w:p>
        </w:tc>
        <w:tc>
          <w:tcPr>
            <w:tcW w:type="dxa" w:w="13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INT</w:t>
            </w:r>
          </w:p>
        </w:tc>
        <w:tc>
          <w:tcPr>
            <w:tcW w:type="dxa" w:w="50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FK → banking_relationships: 1=Retail, 2=Institutional, 3=Private Bank, 4=Commercial</w:t>
            </w:r>
          </w:p>
        </w:tc>
      </w:tr>
      <w:tr>
        <w:tc>
          <w:tcPr>
            <w:tcW w:type="dxa" w:w="5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24</w:t>
            </w:r>
          </w:p>
        </w:tc>
        <w:tc>
          <w:tcPr>
            <w:tcW w:type="dxa" w:w="25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GenderId</w:t>
            </w:r>
          </w:p>
        </w:tc>
        <w:tc>
          <w:tcPr>
            <w:tcW w:type="dxa" w:w="13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INT</w:t>
            </w:r>
          </w:p>
        </w:tc>
        <w:tc>
          <w:tcPr>
            <w:tcW w:type="dxa" w:w="50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FK → gender: 1=Male, 2=Female</w:t>
            </w:r>
          </w:p>
        </w:tc>
      </w:tr>
      <w:tr>
        <w:tc>
          <w:tcPr>
            <w:tcW w:type="dxa" w:w="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25</w:t>
            </w:r>
          </w:p>
        </w:tc>
        <w:tc>
          <w:tcPr>
            <w:tcW w:type="dxa" w:w="2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IAId</w:t>
            </w:r>
          </w:p>
        </w:tc>
        <w:tc>
          <w:tcPr>
            <w:tcW w:type="dxa" w:w="13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INT</w:t>
            </w:r>
          </w:p>
        </w:tc>
        <w:tc>
          <w:tcPr>
            <w:tcW w:type="dxa" w:w="50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FK → investment_advisors: IDs 1–22</w:t>
            </w:r>
          </w:p>
        </w:tc>
      </w:tr>
      <w:tr>
        <w:tc>
          <w:tcPr>
            <w:tcW w:type="dxa" w:w="5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26</w:t>
            </w:r>
          </w:p>
        </w:tc>
        <w:tc>
          <w:tcPr>
            <w:tcW w:type="dxa" w:w="25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Income Band</w:t>
            </w:r>
          </w:p>
        </w:tc>
        <w:tc>
          <w:tcPr>
            <w:tcW w:type="dxa" w:w="13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VARCHAR</w:t>
            </w:r>
          </w:p>
        </w:tc>
        <w:tc>
          <w:tcPr>
            <w:tcW w:type="dxa" w:w="50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DERIVED — pd.cut() output: Low (&lt;£100K) / Medium (£100K–£300K) / High (&gt;£300K)</w:t>
            </w:r>
          </w:p>
        </w:tc>
      </w:tr>
      <w:tr>
        <w:tc>
          <w:tcPr>
            <w:tcW w:type="dxa" w:w="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27</w:t>
            </w:r>
          </w:p>
        </w:tc>
        <w:tc>
          <w:tcPr>
            <w:tcW w:type="dxa" w:w="2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debt_to_income</w:t>
            </w:r>
          </w:p>
        </w:tc>
        <w:tc>
          <w:tcPr>
            <w:tcW w:type="dxa" w:w="13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DECIMAL</w:t>
            </w:r>
          </w:p>
        </w:tc>
        <w:tc>
          <w:tcPr>
            <w:tcW w:type="dxa" w:w="50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DERIVED — Bank_Loans / Estimated_Income; avg: 4.7467, max: 41.2155, min: 0.0</w:t>
            </w:r>
          </w:p>
        </w:tc>
      </w:tr>
      <w:tr>
        <w:tc>
          <w:tcPr>
            <w:tcW w:type="dxa" w:w="5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28</w:t>
            </w:r>
          </w:p>
        </w:tc>
        <w:tc>
          <w:tcPr>
            <w:tcW w:type="dxa" w:w="25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savings_ratio</w:t>
            </w:r>
          </w:p>
        </w:tc>
        <w:tc>
          <w:tcPr>
            <w:tcW w:type="dxa" w:w="13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DECIMAL</w:t>
            </w:r>
          </w:p>
        </w:tc>
        <w:tc>
          <w:tcPr>
            <w:tcW w:type="dxa" w:w="50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DERIVED — Saving_Accounts / Estimated_Income; avg: 1.8271, max: 20.1919, min: 0.0</w:t>
            </w:r>
          </w:p>
        </w:tc>
      </w:tr>
    </w:tbl>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8"/>
          <w:szCs w:val="28"/>
        </w:rPr>
        <w:t xml:space="preserve">3.2 Lookup / Dimension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2300"/>
        <w:gridCol w:w="4160"/>
      </w:tblGrid>
      <w:tr>
        <w:tc>
          <w:tcPr>
            <w:tcW w:type="dxa" w:w="220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File</w:t>
            </w:r>
          </w:p>
        </w:tc>
        <w:tc>
          <w:tcPr>
            <w:tcW w:type="dxa" w:w="70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Rows</w:t>
            </w:r>
          </w:p>
        </w:tc>
        <w:tc>
          <w:tcPr>
            <w:tcW w:type="dxa" w:w="230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Columns</w:t>
            </w:r>
          </w:p>
        </w:tc>
        <w:tc>
          <w:tcPr>
            <w:tcW w:type="dxa" w:w="416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Values</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gender.csv</w:t>
            </w:r>
          </w:p>
        </w:tc>
        <w:tc>
          <w:tcPr>
            <w:tcW w:type="dxa" w:w="7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2</w:t>
            </w:r>
          </w:p>
        </w:tc>
        <w:tc>
          <w:tcPr>
            <w:tcW w:type="dxa" w:w="23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GenderId, Gender</w:t>
            </w:r>
          </w:p>
        </w:tc>
        <w:tc>
          <w:tcPr>
            <w:tcW w:type="dxa" w:w="4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 = Male  |  2 = Female</w:t>
            </w:r>
          </w:p>
        </w:tc>
      </w:tr>
      <w:tr>
        <w:tc>
          <w:tcPr>
            <w:tcW w:type="dxa" w:w="22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investment_advisiors.csv</w:t>
            </w:r>
          </w:p>
        </w:tc>
        <w:tc>
          <w:tcPr>
            <w:tcW w:type="dxa" w:w="7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22</w:t>
            </w:r>
          </w:p>
        </w:tc>
        <w:tc>
          <w:tcPr>
            <w:tcW w:type="dxa" w:w="23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IAId, Investment Advisor</w:t>
            </w:r>
          </w:p>
        </w:tc>
        <w:tc>
          <w:tcPr>
            <w:tcW w:type="dxa" w:w="41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Victor Dean, Jeremy Porter, Ernest Knight, Eric Shaw, Kevin Kim, Victor Rogers, Eugene Cunningham, Joe Carroll, Steve Sanchez, Lawrence Sanchez, Peter Castillo, Victor Gutierrez, Daniel Carroll, Carl Anderson, Nicholas Ward, Fred Bryant, Ryan Taylor, Sean Vasquez, Nicholas Morrison, Jack Phillips, Juan Ramirez, Gregory Boyd</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banking_realtionships.csv</w:t>
            </w:r>
          </w:p>
        </w:tc>
        <w:tc>
          <w:tcPr>
            <w:tcW w:type="dxa" w:w="7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4</w:t>
            </w:r>
          </w:p>
        </w:tc>
        <w:tc>
          <w:tcPr>
            <w:tcW w:type="dxa" w:w="23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BRId, Banking Relationship</w:t>
            </w:r>
          </w:p>
        </w:tc>
        <w:tc>
          <w:tcPr>
            <w:tcW w:type="dxa" w:w="4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 = Retail  |  2 = Institutional  |  3 = Private Bank  |  4 = Commercial</w:t>
            </w:r>
          </w:p>
        </w:tc>
      </w:tr>
    </w:tbl>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D6E4F0" w:val="clear"/>
            <w:tcMar>
              <w:top w:type="dxa" w:w="120"/>
              <w:left w:type="dxa" w:w="220"/>
              <w:bottom w:type="dxa" w:w="120"/>
              <w:right w:type="dxa" w:w="220"/>
            </w:tcMar>
          </w:tcPr>
          <w:p>
            <w:r>
              <w:rPr>
                <w:rFonts w:ascii="Arial" w:cs="Arial" w:eastAsia="Arial" w:hAnsi="Arial"/>
                <w:i/>
                <w:iCs/>
                <w:color w:val="1B3A6B"/>
                <w:sz w:val="21"/>
                <w:szCs w:val="21"/>
              </w:rPr>
              <w:t xml:space="preserve">Entity Relationships:  clients.GenderId → gender.GenderId  |  clients.BRId → banking_relationships.BRId  |  clients.IAId → investment_advisors.IAId</w:t>
            </w:r>
          </w:p>
        </w:tc>
      </w:tr>
    </w:tbl>
    <w:p>
      <w:r>
        <w:br w:type="page"/>
      </w:r>
    </w:p>
    <w:p>
      <w:pPr>
        <w:pStyle w:val="Heading1"/>
        <w:pBdr>
          <w:bottom w:val="single" w:color="2E75B6" w:sz="8" w:space="6"/>
        </w:pBdr>
        <w:spacing w:after="160" w:before="400"/>
      </w:pPr>
      <w:r>
        <w:rPr>
          <w:rFonts w:ascii="Arial" w:cs="Arial" w:eastAsia="Arial" w:hAnsi="Arial"/>
          <w:b/>
          <w:bCs/>
          <w:color w:val="1B3A6B"/>
          <w:sz w:val="36"/>
          <w:szCs w:val="36"/>
        </w:rPr>
        <w:t xml:space="preserve">4. Python Exploratory Data Analysis  (eda_python.ipynb)</w:t>
      </w:r>
    </w:p>
    <w:p>
      <w:pPr>
        <w:spacing w:after="80" w:before="60"/>
      </w:pPr>
      <w:r>
        <w:rPr>
          <w:rFonts w:ascii="Arial" w:cs="Arial" w:eastAsia="Arial" w:hAnsi="Arial"/>
          <w:color w:val="1A1A2E"/>
          <w:sz w:val="22"/>
          <w:szCs w:val="22"/>
        </w:rPr>
        <w:t xml:space="preserve">The Python EDA notebook follows a structured pipeline: load → inspect → clean → feature engineering → categorical analysis → numerical analysis → correlation → outlier detection → feature derivation → export. All visualisations use seaborn and matplotlib.</w:t>
      </w:r>
    </w:p>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8"/>
          <w:szCs w:val="28"/>
        </w:rPr>
        <w:t xml:space="preserve">4.1 Data Loading &amp; Initial Inspection</w:t>
      </w:r>
    </w:p>
    <w:p>
      <w:pPr>
        <w:pStyle w:val="ListParagraph"/>
        <w:numPr>
          <w:ilvl w:val="0"/>
          <w:numId w:val="2"/>
        </w:numPr>
        <w:spacing w:after="40" w:before="40"/>
      </w:pPr>
      <w:r>
        <w:rPr>
          <w:rFonts w:ascii="Arial" w:cs="Arial" w:eastAsia="Arial" w:hAnsi="Arial"/>
          <w:color w:val="1A1A2E"/>
          <w:sz w:val="22"/>
          <w:szCs w:val="22"/>
        </w:rPr>
        <w:t xml:space="preserve">df = pd.read_csv('banking_clients.csv') — loaded successfully with no parse errors.</w:t>
      </w:r>
    </w:p>
    <w:p>
      <w:pPr>
        <w:pStyle w:val="ListParagraph"/>
        <w:numPr>
          <w:ilvl w:val="0"/>
          <w:numId w:val="2"/>
        </w:numPr>
        <w:spacing w:after="40" w:before="40"/>
      </w:pPr>
      <w:r>
        <w:rPr>
          <w:rFonts w:ascii="Arial" w:cs="Arial" w:eastAsia="Arial" w:hAnsi="Arial"/>
          <w:color w:val="1A1A2E"/>
          <w:sz w:val="22"/>
          <w:szCs w:val="22"/>
        </w:rPr>
        <w:t xml:space="preserve">df.shape confirmed 2,881 rows × 28 columns (including 3 derived columns).</w:t>
      </w:r>
    </w:p>
    <w:p>
      <w:pPr>
        <w:pStyle w:val="ListParagraph"/>
        <w:numPr>
          <w:ilvl w:val="0"/>
          <w:numId w:val="2"/>
        </w:numPr>
        <w:spacing w:after="40" w:before="40"/>
      </w:pPr>
      <w:r>
        <w:rPr>
          <w:rFonts w:ascii="Arial" w:cs="Arial" w:eastAsia="Arial" w:hAnsi="Arial"/>
          <w:color w:val="1A1A2E"/>
          <w:sz w:val="22"/>
          <w:szCs w:val="22"/>
        </w:rPr>
        <w:t xml:space="preserve">df.info() showed mixed dtypes: float64 for all 9 financial columns, object for categoricals, int64 for ID and count fields.</w:t>
      </w:r>
    </w:p>
    <w:p>
      <w:pPr>
        <w:pStyle w:val="ListParagraph"/>
        <w:numPr>
          <w:ilvl w:val="0"/>
          <w:numId w:val="2"/>
        </w:numPr>
        <w:spacing w:after="40" w:before="40"/>
      </w:pPr>
      <w:r>
        <w:rPr>
          <w:rFonts w:ascii="Arial" w:cs="Arial" w:eastAsia="Arial" w:hAnsi="Arial"/>
          <w:color w:val="1A1A2E"/>
          <w:sz w:val="22"/>
          <w:szCs w:val="22"/>
        </w:rPr>
        <w:t xml:space="preserve">df.isnull().sum() — zero missing values across all 28 columns.</w:t>
      </w:r>
    </w:p>
    <w:p>
      <w:pPr>
        <w:pStyle w:val="ListParagraph"/>
        <w:numPr>
          <w:ilvl w:val="0"/>
          <w:numId w:val="2"/>
        </w:numPr>
        <w:spacing w:after="40" w:before="40"/>
      </w:pPr>
      <w:r>
        <w:rPr>
          <w:rFonts w:ascii="Arial" w:cs="Arial" w:eastAsia="Arial" w:hAnsi="Arial"/>
          <w:color w:val="1A1A2E"/>
          <w:sz w:val="22"/>
          <w:szCs w:val="22"/>
        </w:rPr>
        <w:t xml:space="preserve">df.duplicated().sum() — zero duplicate records.</w:t>
      </w:r>
    </w:p>
    <w:p>
      <w:pPr>
        <w:pStyle w:val="ListParagraph"/>
        <w:numPr>
          <w:ilvl w:val="0"/>
          <w:numId w:val="2"/>
        </w:numPr>
        <w:spacing w:after="40" w:before="40"/>
      </w:pPr>
      <w:r>
        <w:rPr>
          <w:rFonts w:ascii="Arial" w:cs="Arial" w:eastAsia="Arial" w:hAnsi="Arial"/>
          <w:color w:val="1A1A2E"/>
          <w:sz w:val="22"/>
          <w:szCs w:val="22"/>
        </w:rPr>
        <w:t xml:space="preserve">df.columns, df.head(5), df.tail(5), df.describe(), and df.describe(include='all') all used for initial familiarisation.</w:t>
      </w:r>
    </w:p>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8"/>
          <w:szCs w:val="28"/>
        </w:rPr>
        <w:t xml:space="preserve">4.2 Data Cleaning</w:t>
      </w:r>
    </w:p>
    <w:p>
      <w:pPr>
        <w:pStyle w:val="ListParagraph"/>
        <w:numPr>
          <w:ilvl w:val="0"/>
          <w:numId w:val="2"/>
        </w:numPr>
        <w:spacing w:after="40" w:before="40"/>
      </w:pPr>
      <w:r>
        <w:rPr>
          <w:rFonts w:ascii="Arial" w:cs="Arial" w:eastAsia="Arial" w:hAnsi="Arial"/>
          <w:color w:val="1A1A2E"/>
          <w:sz w:val="22"/>
          <w:szCs w:val="22"/>
        </w:rPr>
        <w:t xml:space="preserve">Column name cleaning: df.columns = [col.replace(' ', '_') for col in df.columns] — replaces all spaces with underscores.</w:t>
      </w:r>
    </w:p>
    <w:p>
      <w:pPr>
        <w:pStyle w:val="ListParagraph"/>
        <w:numPr>
          <w:ilvl w:val="0"/>
          <w:numId w:val="2"/>
        </w:numPr>
        <w:spacing w:after="40" w:before="40"/>
      </w:pPr>
      <w:r>
        <w:rPr>
          <w:rFonts w:ascii="Arial" w:cs="Arial" w:eastAsia="Arial" w:hAnsi="Arial"/>
          <w:color w:val="1A1A2E"/>
          <w:sz w:val="22"/>
          <w:szCs w:val="22"/>
        </w:rPr>
        <w:t xml:space="preserve">Note: df.columns.str.lower() is called but not reassigned in the notebook; column names therefore remain in their original mixed case after the replace step.</w:t>
      </w:r>
    </w:p>
    <w:p>
      <w:pPr>
        <w:pStyle w:val="ListParagraph"/>
        <w:numPr>
          <w:ilvl w:val="0"/>
          <w:numId w:val="2"/>
        </w:numPr>
        <w:spacing w:after="40" w:before="40"/>
      </w:pPr>
      <w:r>
        <w:rPr>
          <w:rFonts w:ascii="Arial" w:cs="Arial" w:eastAsia="Arial" w:hAnsi="Arial"/>
          <w:color w:val="1A1A2E"/>
          <w:sz w:val="22"/>
          <w:szCs w:val="22"/>
        </w:rPr>
        <w:t xml:space="preserve">df.dtypes confirmed all 9 financial variables are float64.</w:t>
      </w:r>
    </w:p>
    <w:p>
      <w:pPr>
        <w:pStyle w:val="ListParagraph"/>
        <w:numPr>
          <w:ilvl w:val="0"/>
          <w:numId w:val="2"/>
        </w:numPr>
        <w:spacing w:after="40" w:before="40"/>
      </w:pPr>
      <w:r>
        <w:rPr>
          <w:rFonts w:ascii="Arial" w:cs="Arial" w:eastAsia="Arial" w:hAnsi="Arial"/>
          <w:color w:val="1A1A2E"/>
          <w:sz w:val="22"/>
          <w:szCs w:val="22"/>
        </w:rPr>
        <w:t xml:space="preserve">df.duplicated().sum() confirmed zero duplicate rows.</w:t>
      </w:r>
    </w:p>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8"/>
          <w:szCs w:val="28"/>
        </w:rPr>
        <w:t xml:space="preserve">4.3 Feature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200"/>
        <w:gridCol w:w="2560"/>
      </w:tblGrid>
      <w:tr>
        <w:tc>
          <w:tcPr>
            <w:tcW w:type="dxa" w:w="160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Feature</w:t>
            </w:r>
          </w:p>
        </w:tc>
        <w:tc>
          <w:tcPr>
            <w:tcW w:type="dxa" w:w="300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Method</w:t>
            </w:r>
          </w:p>
        </w:tc>
        <w:tc>
          <w:tcPr>
            <w:tcW w:type="dxa" w:w="220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Bins / Formula</w:t>
            </w:r>
          </w:p>
        </w:tc>
        <w:tc>
          <w:tcPr>
            <w:tcW w:type="dxa" w:w="256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Result Distribution</w:t>
            </w:r>
          </w:p>
        </w:tc>
      </w:tr>
      <w:tr>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Income Band</w:t>
            </w:r>
          </w:p>
        </w:tc>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pd.cut(df['Estimated_Income'], bins=parts, labels=lables, right=False)</w:t>
            </w:r>
          </w:p>
        </w:tc>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parts = [0, 100000, 300000, float('inf')]</w:t>
            </w:r>
          </w:p>
        </w:tc>
        <w:tc>
          <w:tcPr>
            <w:tcW w:type="dxa" w:w="2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Low: 991 (34.40%)  |  Medium: 1,446 (50.19%)  |  High: 444 (15.41%)</w:t>
            </w:r>
          </w:p>
        </w:tc>
      </w:tr>
      <w:tr>
        <w:tc>
          <w:tcPr>
            <w:tcW w:type="dxa" w:w="16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debt_to_income</w:t>
            </w:r>
          </w:p>
        </w:tc>
        <w:tc>
          <w:tcPr>
            <w:tcW w:type="dxa" w:w="30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df['Bank_Loans'] / df['Estimated_Income']</w:t>
            </w:r>
          </w:p>
        </w:tc>
        <w:tc>
          <w:tcPr>
            <w:tcW w:type="dxa" w:w="22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Ratio</w:t>
            </w:r>
          </w:p>
        </w:tc>
        <w:tc>
          <w:tcPr>
            <w:tcW w:type="dxa" w:w="25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Average: 4.7467  |  Max: 41.2155  |  Min: 0.0</w:t>
            </w:r>
          </w:p>
        </w:tc>
      </w:tr>
      <w:tr>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savings_ratio</w:t>
            </w:r>
          </w:p>
        </w:tc>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df['Saving_Accounts'] / df['Estimated_Income']</w:t>
            </w:r>
          </w:p>
        </w:tc>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Ratio</w:t>
            </w:r>
          </w:p>
        </w:tc>
        <w:tc>
          <w:tcPr>
            <w:tcW w:type="dxa" w:w="2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Average: 1.8271  |  Max: 20.1919  |  Min: 0.0</w:t>
            </w:r>
          </w:p>
        </w:tc>
      </w:tr>
    </w:tbl>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D6E4F0" w:val="clear"/>
            <w:tcMar>
              <w:top w:type="dxa" w:w="120"/>
              <w:left w:type="dxa" w:w="220"/>
              <w:bottom w:type="dxa" w:w="120"/>
              <w:right w:type="dxa" w:w="220"/>
            </w:tcMar>
          </w:tcPr>
          <w:p>
            <w:r>
              <w:rPr>
                <w:rFonts w:ascii="Arial" w:cs="Arial" w:eastAsia="Arial" w:hAnsi="Arial"/>
                <w:i/>
                <w:iCs/>
                <w:color w:val="1B3A6B"/>
                <w:sz w:val="21"/>
                <w:szCs w:val="21"/>
              </w:rPr>
              <w:t xml:space="preserve">Note on variable name: The notebook uses 'lables' (single 'l') — a spelling inconsistency for 'labels' — but this does not cause a runtime error as the same name is referenced consistently throughout the notebook.</w:t>
            </w:r>
          </w:p>
        </w:tc>
      </w:tr>
    </w:tbl>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8"/>
          <w:szCs w:val="28"/>
        </w:rPr>
        <w:t xml:space="preserve">4.4 Categorical Analysis</w:t>
      </w:r>
    </w:p>
    <w:p>
      <w:pPr>
        <w:spacing w:after="80" w:before="60"/>
      </w:pPr>
      <w:r>
        <w:rPr>
          <w:rFonts w:ascii="Arial" w:cs="Arial" w:eastAsia="Arial" w:hAnsi="Arial"/>
          <w:color w:val="1A1A2E"/>
          <w:sz w:val="22"/>
          <w:szCs w:val="22"/>
        </w:rPr>
        <w:t xml:space="preserve">The following ten categorical variables (matching the Python categorical_col list in order) were analysed using value_counts() and seaborn countplots. Three sets of countplots were generated: baseline, with hue='GenderId', and with hue='Nationality'.</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060"/>
      </w:tblGrid>
      <w:tr>
        <w:tc>
          <w:tcPr>
            <w:tcW w:type="dxa" w:w="190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categorical_col Variable</w:t>
            </w:r>
          </w:p>
        </w:tc>
        <w:tc>
          <w:tcPr>
            <w:tcW w:type="dxa" w:w="440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Distribution</w:t>
            </w:r>
          </w:p>
        </w:tc>
        <w:tc>
          <w:tcPr>
            <w:tcW w:type="dxa" w:w="306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 Insight</w:t>
            </w:r>
          </w:p>
        </w:tc>
      </w:tr>
      <w:tr>
        <w:tc>
          <w:tcPr>
            <w:tcW w:type="dxa" w:w="19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Nationality</w:t>
            </w:r>
          </w:p>
        </w:tc>
        <w:tc>
          <w:tcPr>
            <w:tcW w:type="dxa" w:w="4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European: 1,257 (43.63%)  |  Asian: 726 (25.20%)  |  American: 485 (16.83%)  |  Australian: 243 (8.43%)  |  African: 170 (5.90%)</w:t>
            </w:r>
          </w:p>
        </w:tc>
        <w:tc>
          <w:tcPr>
            <w:tcW w:type="dxa" w:w="30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5 nationalities; European is the dominant segment at 43.63%</w:t>
            </w:r>
          </w:p>
        </w:tc>
      </w:tr>
      <w:tr>
        <w:tc>
          <w:tcPr>
            <w:tcW w:type="dxa" w:w="19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Occupation</w:t>
            </w:r>
          </w:p>
        </w:tc>
        <w:tc>
          <w:tcPr>
            <w:tcW w:type="dxa" w:w="44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195 unique job titles  |  Top 5: Structural Analysis Engineer (26), Recruiter (25), Human Resources Manager (24), Associate Professor (24), Account Coordinator (23)</w:t>
            </w:r>
          </w:p>
        </w:tc>
        <w:tc>
          <w:tcPr>
            <w:tcW w:type="dxa" w:w="30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Highly diverse occupation base; no single occupation exceeds 0.9% of total</w:t>
            </w:r>
          </w:p>
        </w:tc>
      </w:tr>
      <w:tr>
        <w:tc>
          <w:tcPr>
            <w:tcW w:type="dxa" w:w="19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Fee_Structure</w:t>
            </w:r>
          </w:p>
        </w:tc>
        <w:tc>
          <w:tcPr>
            <w:tcW w:type="dxa" w:w="4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High: 1,411 (48.98%)  |  Mid: 924 (32.07%)  |  Low: 546 (18.95%)</w:t>
            </w:r>
          </w:p>
        </w:tc>
        <w:tc>
          <w:tcPr>
            <w:tcW w:type="dxa" w:w="30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Nearly half of clients are on the High fee tier</w:t>
            </w:r>
          </w:p>
        </w:tc>
      </w:tr>
      <w:tr>
        <w:tc>
          <w:tcPr>
            <w:tcW w:type="dxa" w:w="19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Loyalty_Classification</w:t>
            </w:r>
          </w:p>
        </w:tc>
        <w:tc>
          <w:tcPr>
            <w:tcW w:type="dxa" w:w="44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Jade: 1,277 (44.32%)  |  Silver: 739 (25.65%)  |  Gold: 564 (19.58%)  |  Platinum: 301 (10.45%)</w:t>
            </w:r>
          </w:p>
        </w:tc>
        <w:tc>
          <w:tcPr>
            <w:tcW w:type="dxa" w:w="30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Majority are entry-tier Jade; Platinum (highest tier) is the smallest group</w:t>
            </w:r>
          </w:p>
        </w:tc>
      </w:tr>
      <w:tr>
        <w:tc>
          <w:tcPr>
            <w:tcW w:type="dxa" w:w="19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Properties_Owned</w:t>
            </w:r>
          </w:p>
        </w:tc>
        <w:tc>
          <w:tcPr>
            <w:tcW w:type="dxa" w:w="4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0: 678 (23.53%)  |  1: 746 (25.89%)  |  2: 744 (25.82%)  |  3: 713 (24.75%)</w:t>
            </w:r>
          </w:p>
        </w:tc>
        <w:tc>
          <w:tcPr>
            <w:tcW w:type="dxa" w:w="30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Near-equal distribution across 0–3 properties owned</w:t>
            </w:r>
          </w:p>
        </w:tc>
      </w:tr>
      <w:tr>
        <w:tc>
          <w:tcPr>
            <w:tcW w:type="dxa" w:w="19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Risk_Weighting</w:t>
            </w:r>
          </w:p>
        </w:tc>
        <w:tc>
          <w:tcPr>
            <w:tcW w:type="dxa" w:w="44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Level 1: 798 (27.70%)  |  Level 2: 1,175 (40.78%)  |  Level 3: 443 (15.38%)  |  Level 4: 311 (10.79%)  |  Level 5: 154 (5.35%)</w:t>
            </w:r>
          </w:p>
        </w:tc>
        <w:tc>
          <w:tcPr>
            <w:tcW w:type="dxa" w:w="30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Most clients are low-to-moderate risk (Levels 1–2 = 68.48%)</w:t>
            </w:r>
          </w:p>
        </w:tc>
      </w:tr>
      <w:tr>
        <w:tc>
          <w:tcPr>
            <w:tcW w:type="dxa" w:w="19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BRId</w:t>
            </w:r>
          </w:p>
        </w:tc>
        <w:tc>
          <w:tcPr>
            <w:tcW w:type="dxa" w:w="4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Private Bank (3): 1,286 (44.64%)  |  Retail (1): 642 (22.28%)  |  Institutional (2): 479 (16.63%)  |  Commercial (4): 474 (16.45%)</w:t>
            </w:r>
          </w:p>
        </w:tc>
        <w:tc>
          <w:tcPr>
            <w:tcW w:type="dxa" w:w="30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Private Bank accounts for nearly half of all banking relationships</w:t>
            </w:r>
          </w:p>
        </w:tc>
      </w:tr>
      <w:tr>
        <w:tc>
          <w:tcPr>
            <w:tcW w:type="dxa" w:w="19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GenderId</w:t>
            </w:r>
          </w:p>
        </w:tc>
        <w:tc>
          <w:tcPr>
            <w:tcW w:type="dxa" w:w="44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Female (2): 1,454 (50.47%)  |  Male (1): 1,427 (49.53%)</w:t>
            </w:r>
          </w:p>
        </w:tc>
        <w:tc>
          <w:tcPr>
            <w:tcW w:type="dxa" w:w="30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Near-perfect gender balance across the client base</w:t>
            </w:r>
          </w:p>
        </w:tc>
      </w:tr>
      <w:tr>
        <w:tc>
          <w:tcPr>
            <w:tcW w:type="dxa" w:w="19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IAId</w:t>
            </w:r>
          </w:p>
        </w:tc>
        <w:tc>
          <w:tcPr>
            <w:tcW w:type="dxa" w:w="4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22 advisors  |  Range: 81 clients (Kevin Kim / Juan Ramirez) – 174 clients (Peter Castillo)  |  Average: 130.95</w:t>
            </w:r>
          </w:p>
        </w:tc>
        <w:tc>
          <w:tcPr>
            <w:tcW w:type="dxa" w:w="30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Advisor loads vary but all 22 advisors have active clients</w:t>
            </w:r>
          </w:p>
        </w:tc>
      </w:tr>
      <w:tr>
        <w:tc>
          <w:tcPr>
            <w:tcW w:type="dxa" w:w="19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Income Band</w:t>
            </w:r>
          </w:p>
        </w:tc>
        <w:tc>
          <w:tcPr>
            <w:tcW w:type="dxa" w:w="44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Medium: 1,446 (50.19%)  |  Low: 991 (34.40%)  |  High: 444 (15.41%)</w:t>
            </w:r>
          </w:p>
        </w:tc>
        <w:tc>
          <w:tcPr>
            <w:tcW w:type="dxa" w:w="30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Derived feature; half of all clients fall in the medium income band</w:t>
            </w:r>
          </w:p>
        </w:tc>
      </w:tr>
    </w:tbl>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8"/>
          <w:szCs w:val="28"/>
        </w:rPr>
        <w:t xml:space="preserve">4.5 Numerical Distribution Analysis</w:t>
      </w:r>
    </w:p>
    <w:p>
      <w:pPr>
        <w:spacing w:after="80" w:before="60"/>
      </w:pPr>
      <w:r>
        <w:rPr>
          <w:rFonts w:ascii="Arial" w:cs="Arial" w:eastAsia="Arial" w:hAnsi="Arial"/>
          <w:color w:val="1A1A2E"/>
          <w:sz w:val="22"/>
          <w:szCs w:val="22"/>
        </w:rPr>
        <w:t xml:space="preserve">Nine core financial variables were analysed. Distributions visualised using df[num_cols].hist(figsize=(15,12), bins=20) and individual sns.boxplot() per column. Outliers calculated using the IQR method (below Q1 − 1.5×IQR or above Q3 + 1.5×IQR).</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100"/>
        <w:gridCol w:w="1500"/>
        <w:gridCol w:w="1160"/>
        <w:gridCol w:w="2200"/>
      </w:tblGrid>
      <w:tr>
        <w:tc>
          <w:tcPr>
            <w:tcW w:type="dxa" w:w="220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Variable</w:t>
            </w:r>
          </w:p>
        </w:tc>
        <w:tc>
          <w:tcPr>
            <w:tcW w:type="dxa" w:w="120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Average</w:t>
            </w:r>
          </w:p>
        </w:tc>
        <w:tc>
          <w:tcPr>
            <w:tcW w:type="dxa" w:w="110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Min</w:t>
            </w:r>
          </w:p>
        </w:tc>
        <w:tc>
          <w:tcPr>
            <w:tcW w:type="dxa" w:w="150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Max</w:t>
            </w:r>
          </w:p>
        </w:tc>
        <w:tc>
          <w:tcPr>
            <w:tcW w:type="dxa" w:w="116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Std Dev</w:t>
            </w:r>
          </w:p>
        </w:tc>
        <w:tc>
          <w:tcPr>
            <w:tcW w:type="dxa" w:w="220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Outliers (IQR)</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Estimated_Income</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£171,719.96</w:t>
            </w:r>
          </w:p>
        </w:tc>
        <w:tc>
          <w:tcPr>
            <w:tcW w:type="dxa" w:w="11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£15,919.48</w:t>
            </w:r>
          </w:p>
        </w:tc>
        <w:tc>
          <w:tcPr>
            <w:tcW w:type="dxa" w:w="1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£521,159.98</w:t>
            </w:r>
          </w:p>
        </w:tc>
        <w:tc>
          <w:tcPr>
            <w:tcW w:type="dxa" w:w="1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£112,479.95</w:t>
            </w:r>
          </w:p>
        </w:tc>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21  (0.7%)</w:t>
            </w:r>
          </w:p>
        </w:tc>
      </w:tr>
      <w:tr>
        <w:tc>
          <w:tcPr>
            <w:tcW w:type="dxa" w:w="22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Superannuation_Savings</w:t>
            </w:r>
          </w:p>
        </w:tc>
        <w:tc>
          <w:tcPr>
            <w:tcW w:type="dxa" w:w="12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£25,558.28</w:t>
            </w:r>
          </w:p>
        </w:tc>
        <w:tc>
          <w:tcPr>
            <w:tcW w:type="dxa" w:w="11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£1,482.03</w:t>
            </w:r>
          </w:p>
        </w:tc>
        <w:tc>
          <w:tcPr>
            <w:tcW w:type="dxa" w:w="15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£75,963.90</w:t>
            </w:r>
          </w:p>
        </w:tc>
        <w:tc>
          <w:tcPr>
            <w:tcW w:type="dxa" w:w="11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£16,307.58</w:t>
            </w:r>
          </w:p>
        </w:tc>
        <w:tc>
          <w:tcPr>
            <w:tcW w:type="dxa" w:w="22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19  (0.7%)</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Credit_Card_Balance</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£3,181.35</w:t>
            </w:r>
          </w:p>
        </w:tc>
        <w:tc>
          <w:tcPr>
            <w:tcW w:type="dxa" w:w="11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£1.17</w:t>
            </w:r>
          </w:p>
        </w:tc>
        <w:tc>
          <w:tcPr>
            <w:tcW w:type="dxa" w:w="1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£13,991.99</w:t>
            </w:r>
          </w:p>
        </w:tc>
        <w:tc>
          <w:tcPr>
            <w:tcW w:type="dxa" w:w="1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£2,495.27</w:t>
            </w:r>
          </w:p>
        </w:tc>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83  (2.9%)</w:t>
            </w:r>
          </w:p>
        </w:tc>
      </w:tr>
      <w:tr>
        <w:tc>
          <w:tcPr>
            <w:tcW w:type="dxa" w:w="22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Bank_Loans</w:t>
            </w:r>
          </w:p>
        </w:tc>
        <w:tc>
          <w:tcPr>
            <w:tcW w:type="dxa" w:w="12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£593,264.90</w:t>
            </w:r>
          </w:p>
        </w:tc>
        <w:tc>
          <w:tcPr>
            <w:tcW w:type="dxa" w:w="11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£0.00</w:t>
            </w:r>
          </w:p>
        </w:tc>
        <w:tc>
          <w:tcPr>
            <w:tcW w:type="dxa" w:w="15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£2,667,556.66</w:t>
            </w:r>
          </w:p>
        </w:tc>
        <w:tc>
          <w:tcPr>
            <w:tcW w:type="dxa" w:w="11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£456,733.55</w:t>
            </w:r>
          </w:p>
        </w:tc>
        <w:tc>
          <w:tcPr>
            <w:tcW w:type="dxa" w:w="22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78  (2.7%)</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Bank_Deposits</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£670,232.11</w:t>
            </w:r>
          </w:p>
        </w:tc>
        <w:tc>
          <w:tcPr>
            <w:tcW w:type="dxa" w:w="11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£0.00</w:t>
            </w:r>
          </w:p>
        </w:tc>
        <w:tc>
          <w:tcPr>
            <w:tcW w:type="dxa" w:w="1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£3,890,598.08</w:t>
            </w:r>
          </w:p>
        </w:tc>
        <w:tc>
          <w:tcPr>
            <w:tcW w:type="dxa" w:w="1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£648,033.83</w:t>
            </w:r>
          </w:p>
        </w:tc>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146 (5.1%)</w:t>
            </w:r>
          </w:p>
        </w:tc>
      </w:tr>
      <w:tr>
        <w:tc>
          <w:tcPr>
            <w:tcW w:type="dxa" w:w="22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Checking_Accounts</w:t>
            </w:r>
          </w:p>
        </w:tc>
        <w:tc>
          <w:tcPr>
            <w:tcW w:type="dxa" w:w="12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£319,955.05</w:t>
            </w:r>
          </w:p>
        </w:tc>
        <w:tc>
          <w:tcPr>
            <w:tcW w:type="dxa" w:w="11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£0.00</w:t>
            </w:r>
          </w:p>
        </w:tc>
        <w:tc>
          <w:tcPr>
            <w:tcW w:type="dxa" w:w="15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£1,969,923.08</w:t>
            </w:r>
          </w:p>
        </w:tc>
        <w:tc>
          <w:tcPr>
            <w:tcW w:type="dxa" w:w="11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£282,262.56</w:t>
            </w:r>
          </w:p>
        </w:tc>
        <w:tc>
          <w:tcPr>
            <w:tcW w:type="dxa" w:w="22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137 (4.8%)</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Saving_Accounts</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£232,581.28</w:t>
            </w:r>
          </w:p>
        </w:tc>
        <w:tc>
          <w:tcPr>
            <w:tcW w:type="dxa" w:w="11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£0.00</w:t>
            </w:r>
          </w:p>
        </w:tc>
        <w:tc>
          <w:tcPr>
            <w:tcW w:type="dxa" w:w="1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£1,724,118.36</w:t>
            </w:r>
          </w:p>
        </w:tc>
        <w:tc>
          <w:tcPr>
            <w:tcW w:type="dxa" w:w="1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£231,514.68</w:t>
            </w:r>
          </w:p>
        </w:tc>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151 (5.2%)</w:t>
            </w:r>
          </w:p>
        </w:tc>
      </w:tr>
      <w:tr>
        <w:tc>
          <w:tcPr>
            <w:tcW w:type="dxa" w:w="22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Foreign_Currency_Account</w:t>
            </w:r>
          </w:p>
        </w:tc>
        <w:tc>
          <w:tcPr>
            <w:tcW w:type="dxa" w:w="12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£30,005.21</w:t>
            </w:r>
          </w:p>
        </w:tc>
        <w:tc>
          <w:tcPr>
            <w:tcW w:type="dxa" w:w="11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£45.00</w:t>
            </w:r>
          </w:p>
        </w:tc>
        <w:tc>
          <w:tcPr>
            <w:tcW w:type="dxa" w:w="15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£124,704.87</w:t>
            </w:r>
          </w:p>
        </w:tc>
        <w:tc>
          <w:tcPr>
            <w:tcW w:type="dxa" w:w="11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£23,188.83</w:t>
            </w:r>
          </w:p>
        </w:tc>
        <w:tc>
          <w:tcPr>
            <w:tcW w:type="dxa" w:w="22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78  (2.7%)</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Business_Lending</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£866,569.29</w:t>
            </w:r>
          </w:p>
        </w:tc>
        <w:tc>
          <w:tcPr>
            <w:tcW w:type="dxa" w:w="11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£0.00</w:t>
            </w:r>
          </w:p>
        </w:tc>
        <w:tc>
          <w:tcPr>
            <w:tcW w:type="dxa" w:w="1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£3,825,961.94</w:t>
            </w:r>
          </w:p>
        </w:tc>
        <w:tc>
          <w:tcPr>
            <w:tcW w:type="dxa" w:w="1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£638,852.08</w:t>
            </w:r>
          </w:p>
        </w:tc>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86  (3.0%)</w:t>
            </w:r>
          </w:p>
        </w:tc>
      </w:tr>
    </w:tbl>
    <w:p>
      <w:pPr>
        <w:spacing w:after="60" w:before="0"/>
      </w:pPr>
      <w:r>
        <w:rPr>
          <w:rFonts w:ascii="Arial" w:cs="Arial" w:eastAsia="Arial" w:hAnsi="Arial"/>
          <w:sz w:val="22"/>
          <w:szCs w:val="22"/>
        </w:rPr>
        <w:t xml:space="preserve"/>
      </w:r>
    </w:p>
    <w:p>
      <w:pPr>
        <w:spacing w:after="80" w:before="60"/>
      </w:pPr>
      <w:r>
        <w:rPr>
          <w:rFonts w:ascii="Arial" w:cs="Arial" w:eastAsia="Arial" w:hAnsi="Arial"/>
          <w:color w:val="1A1A2E"/>
          <w:sz w:val="22"/>
          <w:szCs w:val="22"/>
        </w:rPr>
        <w:t xml:space="preserve">Key observations from numerical analysis:</w:t>
      </w:r>
    </w:p>
    <w:p>
      <w:pPr>
        <w:pStyle w:val="ListParagraph"/>
        <w:numPr>
          <w:ilvl w:val="0"/>
          <w:numId w:val="2"/>
        </w:numPr>
        <w:spacing w:after="40" w:before="40"/>
      </w:pPr>
      <w:r>
        <w:rPr>
          <w:rFonts w:ascii="Arial" w:cs="Arial" w:eastAsia="Arial" w:hAnsi="Arial"/>
          <w:color w:val="1A1A2E"/>
          <w:sz w:val="22"/>
          <w:szCs w:val="22"/>
        </w:rPr>
        <w:t xml:space="preserve">Business Lending carries the highest average balance (£866,569.29), exceeding both Bank_Deposits (£670,232.11) and Bank_Loans (£593,264.90).</w:t>
      </w:r>
    </w:p>
    <w:p>
      <w:pPr>
        <w:pStyle w:val="ListParagraph"/>
        <w:numPr>
          <w:ilvl w:val="0"/>
          <w:numId w:val="2"/>
        </w:numPr>
        <w:spacing w:after="40" w:before="40"/>
      </w:pPr>
      <w:r>
        <w:rPr>
          <w:rFonts w:ascii="Arial" w:cs="Arial" w:eastAsia="Arial" w:hAnsi="Arial"/>
          <w:color w:val="1A1A2E"/>
          <w:sz w:val="22"/>
          <w:szCs w:val="22"/>
        </w:rPr>
        <w:t xml:space="preserve">Bank_Deposits average (£670,232.11) exceeds Bank_Loans average (£593,264.90) — indicating a positive net position for the institution.</w:t>
      </w:r>
    </w:p>
    <w:p>
      <w:pPr>
        <w:pStyle w:val="ListParagraph"/>
        <w:numPr>
          <w:ilvl w:val="0"/>
          <w:numId w:val="2"/>
        </w:numPr>
        <w:spacing w:after="40" w:before="40"/>
      </w:pPr>
      <w:r>
        <w:rPr>
          <w:rFonts w:ascii="Arial" w:cs="Arial" w:eastAsia="Arial" w:hAnsi="Arial"/>
          <w:color w:val="1A1A2E"/>
          <w:sz w:val="22"/>
          <w:szCs w:val="22"/>
        </w:rPr>
        <w:t xml:space="preserve">Average Bank_Loans are approximately 3.45× average Estimated_Income, reflecting mortgage and commercial lending dominance.</w:t>
      </w:r>
    </w:p>
    <w:p>
      <w:pPr>
        <w:pStyle w:val="ListParagraph"/>
        <w:numPr>
          <w:ilvl w:val="0"/>
          <w:numId w:val="2"/>
        </w:numPr>
        <w:spacing w:after="40" w:before="40"/>
      </w:pPr>
      <w:r>
        <w:rPr>
          <w:rFonts w:ascii="Arial" w:cs="Arial" w:eastAsia="Arial" w:hAnsi="Arial"/>
          <w:color w:val="1A1A2E"/>
          <w:sz w:val="22"/>
          <w:szCs w:val="22"/>
        </w:rPr>
        <w:t xml:space="preserve">All 9 financial variables exhibit positive (right) skew — a small number of high-value clients pull averages above the median.</w:t>
      </w:r>
    </w:p>
    <w:p>
      <w:pPr>
        <w:pStyle w:val="ListParagraph"/>
        <w:numPr>
          <w:ilvl w:val="0"/>
          <w:numId w:val="2"/>
        </w:numPr>
        <w:spacing w:after="40" w:before="40"/>
      </w:pPr>
      <w:r>
        <w:rPr>
          <w:rFonts w:ascii="Arial" w:cs="Arial" w:eastAsia="Arial" w:hAnsi="Arial"/>
          <w:color w:val="1A1A2E"/>
          <w:sz w:val="22"/>
          <w:szCs w:val="22"/>
        </w:rPr>
        <w:t xml:space="preserve">Saving_Accounts has the most outliers (151 clients, 5.2%), followed by Bank_Deposits (146 clients, 5.1%) and Checking_Accounts (137 clients, 4.8%).</w:t>
      </w:r>
    </w:p>
    <w:p>
      <w:pPr>
        <w:pStyle w:val="ListParagraph"/>
        <w:numPr>
          <w:ilvl w:val="0"/>
          <w:numId w:val="2"/>
        </w:numPr>
        <w:spacing w:after="40" w:before="40"/>
      </w:pPr>
      <w:r>
        <w:rPr>
          <w:rFonts w:ascii="Arial" w:cs="Arial" w:eastAsia="Arial" w:hAnsi="Arial"/>
          <w:color w:val="1A1A2E"/>
          <w:sz w:val="22"/>
          <w:szCs w:val="22"/>
        </w:rPr>
        <w:t xml:space="preserve">Foreign_Currency_Account has the narrowest range (£45.00 – £124,704.87), consistent with a structured or capped FX product.</w:t>
      </w:r>
    </w:p>
    <w:p>
      <w:pPr>
        <w:pStyle w:val="ListParagraph"/>
        <w:numPr>
          <w:ilvl w:val="0"/>
          <w:numId w:val="2"/>
        </w:numPr>
        <w:spacing w:after="40" w:before="40"/>
      </w:pPr>
      <w:r>
        <w:rPr>
          <w:rFonts w:ascii="Arial" w:cs="Arial" w:eastAsia="Arial" w:hAnsi="Arial"/>
          <w:color w:val="1A1A2E"/>
          <w:sz w:val="22"/>
          <w:szCs w:val="22"/>
        </w:rPr>
        <w:t xml:space="preserve">Credit_Card_Balance minimum is £1.17 — the lowest minimum of all financial variables; average of £3,181.35 is modest relative to income.</w:t>
      </w:r>
    </w:p>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8"/>
          <w:szCs w:val="28"/>
        </w:rPr>
        <w:t xml:space="preserve">4.6 Correlation Analysis</w:t>
      </w:r>
    </w:p>
    <w:p>
      <w:pPr>
        <w:spacing w:after="80" w:before="60"/>
      </w:pPr>
      <w:r>
        <w:rPr>
          <w:rFonts w:ascii="Arial" w:cs="Arial" w:eastAsia="Arial" w:hAnsi="Arial"/>
          <w:color w:val="1A1A2E"/>
          <w:sz w:val="22"/>
          <w:szCs w:val="22"/>
        </w:rPr>
        <w:t xml:space="preserve">A Pearson correlation heatmap was generated using df[numerical_col].corr() with sns.heatmap(cmap='crest', annot=True, fmt='.2f', figsize=(12,12)). The correlation of all variables against Bank_Deposits was also sorted via df[numerical_col].corr()['Bank_Deposits'].sort_values(ascending=False).</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Variable Pair</w:t>
            </w:r>
          </w:p>
        </w:tc>
        <w:tc>
          <w:tcPr>
            <w:tcW w:type="dxa" w:w="180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Relationship</w:t>
            </w:r>
          </w:p>
        </w:tc>
        <w:tc>
          <w:tcPr>
            <w:tcW w:type="dxa" w:w="496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Interpretation</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Bank_Deposits ↔ Checking_Accounts</w:t>
            </w:r>
          </w:p>
        </w:tc>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Moderate positive</w:t>
            </w:r>
          </w:p>
        </w:tc>
        <w:tc>
          <w:tcPr>
            <w:tcW w:type="dxa" w:w="4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Clients with higher total deposits maintain larger current account balances</w:t>
            </w:r>
          </w:p>
        </w:tc>
      </w:tr>
      <w:tr>
        <w:tc>
          <w:tcPr>
            <w:tcW w:type="dxa" w:w="26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Bank_Loans ↔ Business_Lending</w:t>
            </w:r>
          </w:p>
        </w:tc>
        <w:tc>
          <w:tcPr>
            <w:tcW w:type="dxa" w:w="18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Positive</w:t>
            </w:r>
          </w:p>
        </w:tc>
        <w:tc>
          <w:tcPr>
            <w:tcW w:type="dxa" w:w="49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Commercial clients carry higher aggregate loan obligations across both products</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Estimated_Income ↔ Bank_Deposits</w:t>
            </w:r>
          </w:p>
        </w:tc>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Positive</w:t>
            </w:r>
          </w:p>
        </w:tc>
        <w:tc>
          <w:tcPr>
            <w:tcW w:type="dxa" w:w="4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Higher earners accumulate larger deposit balances</w:t>
            </w:r>
          </w:p>
        </w:tc>
      </w:tr>
      <w:tr>
        <w:tc>
          <w:tcPr>
            <w:tcW w:type="dxa" w:w="26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Saving_Accounts ↔ Bank_Deposits</w:t>
            </w:r>
          </w:p>
        </w:tc>
        <w:tc>
          <w:tcPr>
            <w:tcW w:type="dxa" w:w="18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Positive</w:t>
            </w:r>
          </w:p>
        </w:tc>
        <w:tc>
          <w:tcPr>
            <w:tcW w:type="dxa" w:w="49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Savings and deposit balances move together for higher-net-worth clients</w:t>
            </w:r>
          </w:p>
        </w:tc>
      </w:tr>
      <w:tr>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Credit_Card_Balance ↔ Estimated_Income</w:t>
            </w:r>
          </w:p>
        </w:tc>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Weak</w:t>
            </w:r>
          </w:p>
        </w:tc>
        <w:tc>
          <w:tcPr>
            <w:tcW w:type="dxa" w:w="4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Credit card usage is not strongly tied to income level</w:t>
            </w:r>
          </w:p>
        </w:tc>
      </w:tr>
    </w:tbl>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8"/>
          <w:szCs w:val="28"/>
        </w:rPr>
        <w:t xml:space="preserve">4.7 Bivariate &amp; Group Analysis</w:t>
      </w:r>
    </w:p>
    <w:p>
      <w:pPr>
        <w:pStyle w:val="ListParagraph"/>
        <w:numPr>
          <w:ilvl w:val="0"/>
          <w:numId w:val="2"/>
        </w:numPr>
        <w:spacing w:after="40" w:before="40"/>
      </w:pPr>
      <w:r>
        <w:rPr>
          <w:rFonts w:ascii="Arial" w:cs="Arial" w:eastAsia="Arial" w:hAnsi="Arial"/>
          <w:color w:val="1A1A2E"/>
          <w:sz w:val="22"/>
          <w:szCs w:val="22"/>
        </w:rPr>
        <w:t xml:space="preserve">df.groupby('Income Band')['Bank_Deposits'].mean() — higher income bands produce progressively higher average deposit balances.</w:t>
      </w:r>
    </w:p>
    <w:p>
      <w:pPr>
        <w:pStyle w:val="ListParagraph"/>
        <w:numPr>
          <w:ilvl w:val="0"/>
          <w:numId w:val="2"/>
        </w:numPr>
        <w:spacing w:after="40" w:before="40"/>
      </w:pPr>
      <w:r>
        <w:rPr>
          <w:rFonts w:ascii="Arial" w:cs="Arial" w:eastAsia="Arial" w:hAnsi="Arial"/>
          <w:color w:val="1A1A2E"/>
          <w:sz w:val="22"/>
          <w:szCs w:val="22"/>
        </w:rPr>
        <w:t xml:space="preserve">df.groupby('GenderId')['Estimated_Income'].mean() — estimated income levels are closely matched between male and female clients.</w:t>
      </w:r>
    </w:p>
    <w:p>
      <w:pPr>
        <w:pStyle w:val="ListParagraph"/>
        <w:numPr>
          <w:ilvl w:val="0"/>
          <w:numId w:val="2"/>
        </w:numPr>
        <w:spacing w:after="40" w:before="40"/>
      </w:pPr>
      <w:r>
        <w:rPr>
          <w:rFonts w:ascii="Arial" w:cs="Arial" w:eastAsia="Arial" w:hAnsi="Arial"/>
          <w:color w:val="1A1A2E"/>
          <w:sz w:val="22"/>
          <w:szCs w:val="22"/>
        </w:rPr>
        <w:t xml:space="preserve">df.groupby('Nationality')['Bank_Loans'].mean().sort_values(ascending=False) — average loan balances vary across nationality groups.</w:t>
      </w:r>
    </w:p>
    <w:p>
      <w:pPr>
        <w:pStyle w:val="ListParagraph"/>
        <w:numPr>
          <w:ilvl w:val="0"/>
          <w:numId w:val="2"/>
        </w:numPr>
        <w:spacing w:after="40" w:before="40"/>
      </w:pPr>
      <w:r>
        <w:rPr>
          <w:rFonts w:ascii="Arial" w:cs="Arial" w:eastAsia="Arial" w:hAnsi="Arial"/>
          <w:color w:val="1A1A2E"/>
          <w:sz w:val="22"/>
          <w:szCs w:val="22"/>
        </w:rPr>
        <w:t xml:space="preserve">sns.boxplot(x='Income Band', y='Bank_Deposits', data=df) — the High income band shows a wider IQR and higher median deposits compared to Medium and Low.</w:t>
      </w:r>
    </w:p>
    <w:p>
      <w:pPr>
        <w:pStyle w:val="ListParagraph"/>
        <w:numPr>
          <w:ilvl w:val="0"/>
          <w:numId w:val="2"/>
        </w:numPr>
        <w:spacing w:after="40" w:before="40"/>
      </w:pPr>
      <w:r>
        <w:rPr>
          <w:rFonts w:ascii="Arial" w:cs="Arial" w:eastAsia="Arial" w:hAnsi="Arial"/>
          <w:color w:val="1A1A2E"/>
          <w:sz w:val="22"/>
          <w:szCs w:val="22"/>
        </w:rPr>
        <w:t xml:space="preserve">sns.pairplot(df[numerical_col]) — full bivariate scatter matrix across all 9 financial variables; confirms positive correlations between deposit-related variables and right-skewed marginal distributions across all variables.</w:t>
      </w:r>
    </w:p>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8"/>
          <w:szCs w:val="28"/>
        </w:rPr>
        <w:t xml:space="preserve">4.8 Derived Feature Observations</w:t>
      </w:r>
    </w:p>
    <w:p>
      <w:pPr>
        <w:pStyle w:val="ListParagraph"/>
        <w:numPr>
          <w:ilvl w:val="0"/>
          <w:numId w:val="2"/>
        </w:numPr>
        <w:spacing w:after="40" w:before="40"/>
      </w:pPr>
      <w:r>
        <w:rPr>
          <w:rFonts w:ascii="Arial" w:cs="Arial" w:eastAsia="Arial" w:hAnsi="Arial"/>
          <w:color w:val="1A1A2E"/>
          <w:sz w:val="22"/>
          <w:szCs w:val="22"/>
        </w:rPr>
        <w:t xml:space="preserve">debt_to_income: average of 4.7467 confirms clients carry debt approximately 4.75× their annual income on average. Maximum value of 41.2155 indicates some clients carry extreme leverage. Minimum of 0.0 confirms some clients hold no bank loans.</w:t>
      </w:r>
    </w:p>
    <w:p>
      <w:pPr>
        <w:pStyle w:val="ListParagraph"/>
        <w:numPr>
          <w:ilvl w:val="0"/>
          <w:numId w:val="2"/>
        </w:numPr>
        <w:spacing w:after="40" w:before="40"/>
      </w:pPr>
      <w:r>
        <w:rPr>
          <w:rFonts w:ascii="Arial" w:cs="Arial" w:eastAsia="Arial" w:hAnsi="Arial"/>
          <w:color w:val="1A1A2E"/>
          <w:sz w:val="22"/>
          <w:szCs w:val="22"/>
        </w:rPr>
        <w:t xml:space="preserve">savings_ratio: average of 1.8271 means clients hold savings equivalent to approximately 1.83× their annual income on average. Maximum of 20.1919 indicates some clients hold savings worth more than 20× their annual income, reflecting large investment or retirement accounts. Minimum of 0.0 confirms some clients hold no saving account balance.</w:t>
      </w:r>
    </w:p>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8"/>
          <w:szCs w:val="28"/>
        </w:rPr>
        <w:t xml:space="preserve">4.9 Export</w:t>
      </w:r>
    </w:p>
    <w:p>
      <w:pPr>
        <w:pStyle w:val="ListParagraph"/>
        <w:numPr>
          <w:ilvl w:val="0"/>
          <w:numId w:val="2"/>
        </w:numPr>
        <w:spacing w:after="40" w:before="40"/>
      </w:pPr>
      <w:r>
        <w:rPr>
          <w:rFonts w:ascii="Arial" w:cs="Arial" w:eastAsia="Arial" w:hAnsi="Arial"/>
          <w:color w:val="1A1A2E"/>
          <w:sz w:val="22"/>
          <w:szCs w:val="22"/>
        </w:rPr>
        <w:t xml:space="preserve">df.to_csv('cleaned_banking_data.csv', index=False) — full 28-column cleaned dataset (including all 3 derived columns) exported for downstream use in Power BI and SQL analysis.</w:t>
      </w:r>
    </w:p>
    <w:p>
      <w:r>
        <w:br w:type="page"/>
      </w:r>
    </w:p>
    <w:p>
      <w:pPr>
        <w:pStyle w:val="Heading1"/>
        <w:pBdr>
          <w:bottom w:val="single" w:color="2E75B6" w:sz="8" w:space="6"/>
        </w:pBdr>
        <w:spacing w:after="160" w:before="400"/>
      </w:pPr>
      <w:r>
        <w:rPr>
          <w:rFonts w:ascii="Arial" w:cs="Arial" w:eastAsia="Arial" w:hAnsi="Arial"/>
          <w:b/>
          <w:bCs/>
          <w:color w:val="1B3A6B"/>
          <w:sz w:val="36"/>
          <w:szCs w:val="36"/>
        </w:rPr>
        <w:t xml:space="preserve">5. MySQL Analysis  (eda_mysql.sql)</w:t>
      </w:r>
    </w:p>
    <w:p>
      <w:pPr>
        <w:spacing w:after="80" w:before="60"/>
      </w:pPr>
      <w:r>
        <w:rPr>
          <w:rFonts w:ascii="Arial" w:cs="Arial" w:eastAsia="Arial" w:hAnsi="Arial"/>
          <w:color w:val="1A1A2E"/>
          <w:sz w:val="22"/>
          <w:szCs w:val="22"/>
        </w:rPr>
        <w:t xml:space="preserve">The SQL script operates on a MySQL database named finance containing four tables: clients, gender, investment_advisors, and banking_relationships. The file contains queries numbered 1–120.</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8"/>
              <w:bottom w:val="single" w:color="E67E22" w:sz="1"/>
              <w:right w:val="single" w:color="E67E22" w:sz="1"/>
            </w:tcBorders>
            <w:shd w:fill="FEF9E7" w:val="clear"/>
            <w:tcMar>
              <w:top w:type="dxa" w:w="120"/>
              <w:left w:type="dxa" w:w="220"/>
              <w:bottom w:type="dxa" w:w="120"/>
              <w:right w:type="dxa" w:w="220"/>
            </w:tcMar>
          </w:tcPr>
          <w:p>
            <w:r>
              <w:rPr>
                <w:rFonts w:ascii="Arial" w:cs="Arial" w:eastAsia="Arial" w:hAnsi="Arial"/>
                <w:i/>
                <w:iCs/>
                <w:color w:val="7D6608"/>
                <w:sz w:val="21"/>
                <w:szCs w:val="21"/>
              </w:rPr>
              <w:t xml:space="preserve">File Note: Queries numbered 51–55 are absent from the SQL file — Section 6 jumps directly from query 50 to Section 7 at query 56. Queries 82–85 appear twice in the file (duplicated at the end of Section 9 and again at the start of Section 10). The total number of unique query definitions in the file is 115.</w:t>
            </w:r>
          </w:p>
        </w:tc>
      </w:tr>
    </w:tbl>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8"/>
          <w:szCs w:val="28"/>
        </w:rPr>
        <w:t xml:space="preserve">5.1 Query Section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400"/>
        <w:gridCol w:w="700"/>
        <w:gridCol w:w="4760"/>
      </w:tblGrid>
      <w:tr>
        <w:tc>
          <w:tcPr>
            <w:tcW w:type="dxa" w:w="50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Sec</w:t>
            </w:r>
          </w:p>
        </w:tc>
        <w:tc>
          <w:tcPr>
            <w:tcW w:type="dxa" w:w="200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Topic</w:t>
            </w:r>
          </w:p>
        </w:tc>
        <w:tc>
          <w:tcPr>
            <w:tcW w:type="dxa" w:w="140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Query Numbers</w:t>
            </w:r>
          </w:p>
        </w:tc>
        <w:tc>
          <w:tcPr>
            <w:tcW w:type="dxa" w:w="70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Count</w:t>
            </w:r>
          </w:p>
        </w:tc>
        <w:tc>
          <w:tcPr>
            <w:tcW w:type="dxa" w:w="476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SQL Techniques</w:t>
            </w:r>
          </w:p>
        </w:tc>
      </w:tr>
      <w:tr>
        <w:tc>
          <w:tcPr>
            <w:tcW w:type="dxa" w:w="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Basic SELECT</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1–10</w:t>
            </w:r>
          </w:p>
        </w:tc>
        <w:tc>
          <w:tcPr>
            <w:tcW w:type="dxa" w:w="7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10</w:t>
            </w:r>
          </w:p>
        </w:tc>
        <w:tc>
          <w:tcPr>
            <w:tcW w:type="dxa" w:w="4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SELECT *, DISTINCT, COUNT, LIMIT, GROUP BY</w:t>
            </w:r>
          </w:p>
        </w:tc>
      </w:tr>
      <w:tr>
        <w:tc>
          <w:tcPr>
            <w:tcW w:type="dxa" w:w="5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2</w:t>
            </w:r>
          </w:p>
        </w:tc>
        <w:tc>
          <w:tcPr>
            <w:tcW w:type="dxa" w:w="20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Filtering</w:t>
            </w:r>
          </w:p>
        </w:tc>
        <w:tc>
          <w:tcPr>
            <w:tcW w:type="dxa" w:w="14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11–20</w:t>
            </w:r>
          </w:p>
        </w:tc>
        <w:tc>
          <w:tcPr>
            <w:tcW w:type="dxa" w:w="7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10</w:t>
            </w:r>
          </w:p>
        </w:tc>
        <w:tc>
          <w:tcPr>
            <w:tcW w:type="dxa" w:w="47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WHERE, AND, OR, BETWEEN, IN, NOT IN, !=</w:t>
            </w:r>
          </w:p>
        </w:tc>
      </w:tr>
      <w:tr>
        <w:tc>
          <w:tcPr>
            <w:tcW w:type="dxa" w:w="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3</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INNER JOIN</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21–30</w:t>
            </w:r>
          </w:p>
        </w:tc>
        <w:tc>
          <w:tcPr>
            <w:tcW w:type="dxa" w:w="7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10</w:t>
            </w:r>
          </w:p>
        </w:tc>
        <w:tc>
          <w:tcPr>
            <w:tcW w:type="dxa" w:w="4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Multi-table INNER JOIN, HAVING, self-join</w:t>
            </w:r>
          </w:p>
        </w:tc>
      </w:tr>
      <w:tr>
        <w:tc>
          <w:tcPr>
            <w:tcW w:type="dxa" w:w="5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4</w:t>
            </w:r>
          </w:p>
        </w:tc>
        <w:tc>
          <w:tcPr>
            <w:tcW w:type="dxa" w:w="20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LEFT JOIN</w:t>
            </w:r>
          </w:p>
        </w:tc>
        <w:tc>
          <w:tcPr>
            <w:tcW w:type="dxa" w:w="14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31–40</w:t>
            </w:r>
          </w:p>
        </w:tc>
        <w:tc>
          <w:tcPr>
            <w:tcW w:type="dxa" w:w="7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10</w:t>
            </w:r>
          </w:p>
        </w:tc>
        <w:tc>
          <w:tcPr>
            <w:tcW w:type="dxa" w:w="47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LEFT JOIN, NULL detection, CROSS JOIN, CASE pivot</w:t>
            </w:r>
          </w:p>
        </w:tc>
      </w:tr>
      <w:tr>
        <w:tc>
          <w:tcPr>
            <w:tcW w:type="dxa" w:w="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5</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RIGHT / FULL JOIN</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41–45</w:t>
            </w:r>
          </w:p>
        </w:tc>
        <w:tc>
          <w:tcPr>
            <w:tcW w:type="dxa" w:w="7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5</w:t>
            </w:r>
          </w:p>
        </w:tc>
        <w:tc>
          <w:tcPr>
            <w:tcW w:type="dxa" w:w="4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RIGHT JOIN, UNION ALL (full outer join simulation)</w:t>
            </w:r>
          </w:p>
        </w:tc>
      </w:tr>
      <w:tr>
        <w:tc>
          <w:tcPr>
            <w:tcW w:type="dxa" w:w="5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6</w:t>
            </w:r>
          </w:p>
        </w:tc>
        <w:tc>
          <w:tcPr>
            <w:tcW w:type="dxa" w:w="20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Subqueries</w:t>
            </w:r>
          </w:p>
        </w:tc>
        <w:tc>
          <w:tcPr>
            <w:tcW w:type="dxa" w:w="14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46–50</w:t>
            </w:r>
          </w:p>
        </w:tc>
        <w:tc>
          <w:tcPr>
            <w:tcW w:type="dxa" w:w="7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5</w:t>
            </w:r>
          </w:p>
        </w:tc>
        <w:tc>
          <w:tcPr>
            <w:tcW w:type="dxa" w:w="47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Scalar subquery, correlated subquery, derived table (queries 51–55 absent from file)</w:t>
            </w:r>
          </w:p>
        </w:tc>
      </w:tr>
      <w:tr>
        <w:tc>
          <w:tcPr>
            <w:tcW w:type="dxa" w:w="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7</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IN / EXISTS</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56–65</w:t>
            </w:r>
          </w:p>
        </w:tc>
        <w:tc>
          <w:tcPr>
            <w:tcW w:type="dxa" w:w="7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10</w:t>
            </w:r>
          </w:p>
        </w:tc>
        <w:tc>
          <w:tcPr>
            <w:tcW w:type="dxa" w:w="4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IN, NOT IN, EXISTS, NOT EXISTS</w:t>
            </w:r>
          </w:p>
        </w:tc>
      </w:tr>
      <w:tr>
        <w:tc>
          <w:tcPr>
            <w:tcW w:type="dxa" w:w="5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8</w:t>
            </w:r>
          </w:p>
        </w:tc>
        <w:tc>
          <w:tcPr>
            <w:tcW w:type="dxa" w:w="20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CTEs</w:t>
            </w:r>
          </w:p>
        </w:tc>
        <w:tc>
          <w:tcPr>
            <w:tcW w:type="dxa" w:w="14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66–75</w:t>
            </w:r>
          </w:p>
        </w:tc>
        <w:tc>
          <w:tcPr>
            <w:tcW w:type="dxa" w:w="7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10</w:t>
            </w:r>
          </w:p>
        </w:tc>
        <w:tc>
          <w:tcPr>
            <w:tcW w:type="dxa" w:w="47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WITH, multi-CTE chains, COALESCE, ROW_NUMBER in CTE</w:t>
            </w:r>
          </w:p>
        </w:tc>
      </w:tr>
      <w:tr>
        <w:tc>
          <w:tcPr>
            <w:tcW w:type="dxa" w:w="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9</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Window Ranking</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76–85</w:t>
            </w:r>
          </w:p>
        </w:tc>
        <w:tc>
          <w:tcPr>
            <w:tcW w:type="dxa" w:w="7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10</w:t>
            </w:r>
          </w:p>
        </w:tc>
        <w:tc>
          <w:tcPr>
            <w:tcW w:type="dxa" w:w="4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ROW_NUMBER, RANK, DENSE_RANK, NTILE, PERCENT_RANK, CUME_DIST, PARTITION BY</w:t>
            </w:r>
          </w:p>
        </w:tc>
      </w:tr>
      <w:tr>
        <w:tc>
          <w:tcPr>
            <w:tcW w:type="dxa" w:w="5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10</w:t>
            </w:r>
          </w:p>
        </w:tc>
        <w:tc>
          <w:tcPr>
            <w:tcW w:type="dxa" w:w="20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Analytical Windows</w:t>
            </w:r>
          </w:p>
        </w:tc>
        <w:tc>
          <w:tcPr>
            <w:tcW w:type="dxa" w:w="14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86–95</w:t>
            </w:r>
          </w:p>
        </w:tc>
        <w:tc>
          <w:tcPr>
            <w:tcW w:type="dxa" w:w="7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10</w:t>
            </w:r>
          </w:p>
        </w:tc>
        <w:tc>
          <w:tcPr>
            <w:tcW w:type="dxa" w:w="47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LAG, LEAD, FIRST_VALUE, LAST_VALUE, SUM OVER, AVG OVER, ROWS BETWEEN</w:t>
            </w:r>
          </w:p>
        </w:tc>
      </w:tr>
      <w:tr>
        <w:tc>
          <w:tcPr>
            <w:tcW w:type="dxa" w:w="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11</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CASE Expressions</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96–100</w:t>
            </w:r>
          </w:p>
        </w:tc>
        <w:tc>
          <w:tcPr>
            <w:tcW w:type="dxa" w:w="7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5</w:t>
            </w:r>
          </w:p>
        </w:tc>
        <w:tc>
          <w:tcPr>
            <w:tcW w:type="dxa" w:w="4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Simple CASE, nested CASE, SUM(CASE WHEN), conditional COUNT</w:t>
            </w:r>
          </w:p>
        </w:tc>
      </w:tr>
      <w:tr>
        <w:tc>
          <w:tcPr>
            <w:tcW w:type="dxa" w:w="5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12</w:t>
            </w:r>
          </w:p>
        </w:tc>
        <w:tc>
          <w:tcPr>
            <w:tcW w:type="dxa" w:w="20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UNION</w:t>
            </w:r>
          </w:p>
        </w:tc>
        <w:tc>
          <w:tcPr>
            <w:tcW w:type="dxa" w:w="14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101–105</w:t>
            </w:r>
          </w:p>
        </w:tc>
        <w:tc>
          <w:tcPr>
            <w:tcW w:type="dxa" w:w="7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5</w:t>
            </w:r>
          </w:p>
        </w:tc>
        <w:tc>
          <w:tcPr>
            <w:tcW w:type="dxa" w:w="47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UNION, UNION ALL, cross-dimension comparisons</w:t>
            </w:r>
          </w:p>
        </w:tc>
      </w:tr>
      <w:tr>
        <w:tc>
          <w:tcPr>
            <w:tcW w:type="dxa" w:w="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13</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Aggregations</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106–110</w:t>
            </w:r>
          </w:p>
        </w:tc>
        <w:tc>
          <w:tcPr>
            <w:tcW w:type="dxa" w:w="7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5</w:t>
            </w:r>
          </w:p>
        </w:tc>
        <w:tc>
          <w:tcPr>
            <w:tcW w:type="dxa" w:w="4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GROUP BY WITH ROLLUP, STDDEV, VARIANCE, VAR_SAMP, STDDEV_SAMP</w:t>
            </w:r>
          </w:p>
        </w:tc>
      </w:tr>
      <w:tr>
        <w:tc>
          <w:tcPr>
            <w:tcW w:type="dxa" w:w="5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14</w:t>
            </w:r>
          </w:p>
        </w:tc>
        <w:tc>
          <w:tcPr>
            <w:tcW w:type="dxa" w:w="20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Recursive CTEs</w:t>
            </w:r>
          </w:p>
        </w:tc>
        <w:tc>
          <w:tcPr>
            <w:tcW w:type="dxa" w:w="14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111–112</w:t>
            </w:r>
          </w:p>
        </w:tc>
        <w:tc>
          <w:tcPr>
            <w:tcW w:type="dxa" w:w="7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2</w:t>
            </w:r>
          </w:p>
        </w:tc>
        <w:tc>
          <w:tcPr>
            <w:tcW w:type="dxa" w:w="47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WITH RECURSIVE, number series generation, hierarchy simulation</w:t>
            </w:r>
          </w:p>
        </w:tc>
      </w:tr>
      <w:tr>
        <w:tc>
          <w:tcPr>
            <w:tcW w:type="dxa" w:w="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15</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Business Scenarios</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113–120</w:t>
            </w:r>
          </w:p>
        </w:tc>
        <w:tc>
          <w:tcPr>
            <w:tcW w:type="dxa" w:w="7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8</w:t>
            </w:r>
          </w:p>
        </w:tc>
        <w:tc>
          <w:tcPr>
            <w:tcW w:type="dxa" w:w="4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Segmentation, concentration risk, peer benchmarking, gap analysis, exec KPI dashboard</w:t>
            </w:r>
          </w:p>
        </w:tc>
      </w:tr>
      <w:tr>
        <w:tc>
          <w:tcPr>
            <w:tcW w:type="dxa" w:w="5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20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TOTAL</w:t>
            </w:r>
          </w:p>
        </w:tc>
        <w:tc>
          <w:tcPr>
            <w:tcW w:type="dxa" w:w="14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1–120</w:t>
            </w:r>
          </w:p>
        </w:tc>
        <w:tc>
          <w:tcPr>
            <w:tcW w:type="dxa" w:w="7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115</w:t>
            </w:r>
          </w:p>
        </w:tc>
        <w:tc>
          <w:tcPr>
            <w:tcW w:type="dxa" w:w="47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15 sections; queries 51–55 absent; queries 82–85 duplicated</w:t>
            </w:r>
          </w:p>
        </w:tc>
      </w:tr>
    </w:tbl>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8"/>
          <w:szCs w:val="28"/>
        </w:rPr>
        <w:t xml:space="preserve">5.2 Key Business Questions by Section</w:t>
      </w:r>
    </w:p>
    <w:p>
      <w:pPr>
        <w:spacing w:after="80" w:before="200"/>
      </w:pPr>
      <w:r>
        <w:rPr>
          <w:rFonts w:ascii="Arial" w:cs="Arial" w:eastAsia="Arial" w:hAnsi="Arial"/>
          <w:b/>
          <w:bCs/>
          <w:color w:val="17A589"/>
          <w:sz w:val="24"/>
          <w:szCs w:val="24"/>
        </w:rPr>
        <w:t xml:space="preserve">Sections 1–2: Basic SELECT &amp; Filtering</w:t>
      </w:r>
    </w:p>
    <w:p>
      <w:pPr>
        <w:pStyle w:val="ListParagraph"/>
        <w:numPr>
          <w:ilvl w:val="0"/>
          <w:numId w:val="2"/>
        </w:numPr>
        <w:spacing w:after="40" w:before="40"/>
      </w:pPr>
      <w:r>
        <w:rPr>
          <w:rFonts w:ascii="Arial" w:cs="Arial" w:eastAsia="Arial" w:hAnsi="Arial"/>
          <w:color w:val="1A1A2E"/>
          <w:sz w:val="22"/>
          <w:szCs w:val="22"/>
        </w:rPr>
        <w:t xml:space="preserve">Total client count: 2,881. Confirmed breakdowns by gender (Male: 1,427 / Female: 1,454), by advisor (IAId), and by banking relationship (BRId).</w:t>
      </w:r>
    </w:p>
    <w:p>
      <w:pPr>
        <w:pStyle w:val="ListParagraph"/>
        <w:numPr>
          <w:ilvl w:val="0"/>
          <w:numId w:val="2"/>
        </w:numPr>
        <w:spacing w:after="40" w:before="40"/>
      </w:pPr>
      <w:r>
        <w:rPr>
          <w:rFonts w:ascii="Arial" w:cs="Arial" w:eastAsia="Arial" w:hAnsi="Arial"/>
          <w:color w:val="1A1A2E"/>
          <w:sz w:val="22"/>
          <w:szCs w:val="22"/>
        </w:rPr>
        <w:t xml:space="preserve">Clients per advisor range from 81 (Kevin Kim, IAId 5 / Juan Ramirez, IAId 21) to 174 (Peter Castillo, IAId 11).</w:t>
      </w:r>
    </w:p>
    <w:p>
      <w:pPr>
        <w:pStyle w:val="ListParagraph"/>
        <w:numPr>
          <w:ilvl w:val="0"/>
          <w:numId w:val="2"/>
        </w:numPr>
        <w:spacing w:after="40" w:before="40"/>
      </w:pPr>
      <w:r>
        <w:rPr>
          <w:rFonts w:ascii="Arial" w:cs="Arial" w:eastAsia="Arial" w:hAnsi="Arial"/>
          <w:color w:val="1A1A2E"/>
          <w:sz w:val="22"/>
          <w:szCs w:val="22"/>
        </w:rPr>
        <w:t xml:space="preserve">Filtering queries identify specific subsets by gender, advisor range (BETWEEN, IN), and exclusions (NOT IN, !=).</w:t>
      </w:r>
    </w:p>
    <w:p>
      <w:pPr>
        <w:pStyle w:val="ListParagraph"/>
        <w:numPr>
          <w:ilvl w:val="0"/>
          <w:numId w:val="2"/>
        </w:numPr>
        <w:spacing w:after="40" w:before="40"/>
      </w:pPr>
      <w:r>
        <w:rPr>
          <w:rFonts w:ascii="Arial" w:cs="Arial" w:eastAsia="Arial" w:hAnsi="Arial"/>
          <w:color w:val="1A1A2E"/>
          <w:sz w:val="22"/>
          <w:szCs w:val="22"/>
        </w:rPr>
        <w:t xml:space="preserve">Query 20: Count of clients not assigned to BRId = 1 (Retail).</w:t>
      </w:r>
    </w:p>
    <w:p>
      <w:pPr>
        <w:spacing w:after="80" w:before="200"/>
      </w:pPr>
      <w:r>
        <w:rPr>
          <w:rFonts w:ascii="Arial" w:cs="Arial" w:eastAsia="Arial" w:hAnsi="Arial"/>
          <w:b/>
          <w:bCs/>
          <w:color w:val="17A589"/>
          <w:sz w:val="24"/>
          <w:szCs w:val="24"/>
        </w:rPr>
        <w:t xml:space="preserve">Sections 3–5: JOIN Analysis</w:t>
      </w:r>
    </w:p>
    <w:p>
      <w:pPr>
        <w:pStyle w:val="ListParagraph"/>
        <w:numPr>
          <w:ilvl w:val="0"/>
          <w:numId w:val="2"/>
        </w:numPr>
        <w:spacing w:after="40" w:before="40"/>
      </w:pPr>
      <w:r>
        <w:rPr>
          <w:rFonts w:ascii="Arial" w:cs="Arial" w:eastAsia="Arial" w:hAnsi="Arial"/>
          <w:color w:val="1A1A2E"/>
          <w:sz w:val="22"/>
          <w:szCs w:val="22"/>
        </w:rPr>
        <w:t xml:space="preserve">Query 24: Complete client profile joining all four tables (clients, gender, banking_relationships, investment_advisors) in a single query.</w:t>
      </w:r>
    </w:p>
    <w:p>
      <w:pPr>
        <w:pStyle w:val="ListParagraph"/>
        <w:numPr>
          <w:ilvl w:val="0"/>
          <w:numId w:val="2"/>
        </w:numPr>
        <w:spacing w:after="40" w:before="40"/>
      </w:pPr>
      <w:r>
        <w:rPr>
          <w:rFonts w:ascii="Arial" w:cs="Arial" w:eastAsia="Arial" w:hAnsi="Arial"/>
          <w:color w:val="1A1A2E"/>
          <w:sz w:val="22"/>
          <w:szCs w:val="22"/>
        </w:rPr>
        <w:t xml:space="preserve">Query 27: Advisors managing more than 10 clients — HAVING COUNT(*) &gt; 10 on a JOIN aggregate.</w:t>
      </w:r>
    </w:p>
    <w:p>
      <w:pPr>
        <w:pStyle w:val="ListParagraph"/>
        <w:numPr>
          <w:ilvl w:val="0"/>
          <w:numId w:val="2"/>
        </w:numPr>
        <w:spacing w:after="40" w:before="40"/>
      </w:pPr>
      <w:r>
        <w:rPr>
          <w:rFonts w:ascii="Arial" w:cs="Arial" w:eastAsia="Arial" w:hAnsi="Arial"/>
          <w:color w:val="1A1A2E"/>
          <w:sz w:val="22"/>
          <w:szCs w:val="22"/>
        </w:rPr>
        <w:t xml:space="preserve">Query 28: Client counts grouped by GenderId and BRId via multi-table JOIN + GROUP BY.</w:t>
      </w:r>
    </w:p>
    <w:p>
      <w:pPr>
        <w:pStyle w:val="ListParagraph"/>
        <w:numPr>
          <w:ilvl w:val="0"/>
          <w:numId w:val="2"/>
        </w:numPr>
        <w:spacing w:after="40" w:before="40"/>
      </w:pPr>
      <w:r>
        <w:rPr>
          <w:rFonts w:ascii="Arial" w:cs="Arial" w:eastAsia="Arial" w:hAnsi="Arial"/>
          <w:color w:val="1A1A2E"/>
          <w:sz w:val="22"/>
          <w:szCs w:val="22"/>
        </w:rPr>
        <w:t xml:space="preserve">Query 30: Self-join identifying client pairs who share both the same advisor and same gender.</w:t>
      </w:r>
    </w:p>
    <w:p>
      <w:pPr>
        <w:pStyle w:val="ListParagraph"/>
        <w:numPr>
          <w:ilvl w:val="0"/>
          <w:numId w:val="2"/>
        </w:numPr>
        <w:spacing w:after="40" w:before="40"/>
      </w:pPr>
      <w:r>
        <w:rPr>
          <w:rFonts w:ascii="Arial" w:cs="Arial" w:eastAsia="Arial" w:hAnsi="Arial"/>
          <w:color w:val="1A1A2E"/>
          <w:sz w:val="22"/>
          <w:szCs w:val="22"/>
        </w:rPr>
        <w:t xml:space="preserve">Query 32 (LEFT JOIN): Confirms all 22 advisors have at least one client (no NULL IAId returned).</w:t>
      </w:r>
    </w:p>
    <w:p>
      <w:pPr>
        <w:pStyle w:val="ListParagraph"/>
        <w:numPr>
          <w:ilvl w:val="0"/>
          <w:numId w:val="2"/>
        </w:numPr>
        <w:spacing w:after="40" w:before="40"/>
      </w:pPr>
      <w:r>
        <w:rPr>
          <w:rFonts w:ascii="Arial" w:cs="Arial" w:eastAsia="Arial" w:hAnsi="Arial"/>
          <w:color w:val="1A1A2E"/>
          <w:sz w:val="22"/>
          <w:szCs w:val="22"/>
        </w:rPr>
        <w:t xml:space="preserve">Query 34 (LEFT JOIN): Confirms all 4 banking relationship types are actively used (no NULL BRId returned).</w:t>
      </w:r>
    </w:p>
    <w:p>
      <w:pPr>
        <w:pStyle w:val="ListParagraph"/>
        <w:numPr>
          <w:ilvl w:val="0"/>
          <w:numId w:val="2"/>
        </w:numPr>
        <w:spacing w:after="40" w:before="40"/>
      </w:pPr>
      <w:r>
        <w:rPr>
          <w:rFonts w:ascii="Arial" w:cs="Arial" w:eastAsia="Arial" w:hAnsi="Arial"/>
          <w:color w:val="1A1A2E"/>
          <w:sz w:val="22"/>
          <w:szCs w:val="22"/>
        </w:rPr>
        <w:t xml:space="preserve">Query 40: CASE pivot showing male and female client counts side-by-side per advisor.</w:t>
      </w:r>
    </w:p>
    <w:p>
      <w:pPr>
        <w:pStyle w:val="ListParagraph"/>
        <w:numPr>
          <w:ilvl w:val="0"/>
          <w:numId w:val="2"/>
        </w:numPr>
        <w:spacing w:after="40" w:before="40"/>
      </w:pPr>
      <w:r>
        <w:rPr>
          <w:rFonts w:ascii="Arial" w:cs="Arial" w:eastAsia="Arial" w:hAnsi="Arial"/>
          <w:color w:val="1A1A2E"/>
          <w:sz w:val="22"/>
          <w:szCs w:val="22"/>
        </w:rPr>
        <w:t xml:space="preserve">Query 42 (RIGHT JOIN): Confirms no orphaned advisor foreign key references exist in the clients table.</w:t>
      </w:r>
    </w:p>
    <w:p>
      <w:pPr>
        <w:spacing w:after="80" w:before="200"/>
      </w:pPr>
      <w:r>
        <w:rPr>
          <w:rFonts w:ascii="Arial" w:cs="Arial" w:eastAsia="Arial" w:hAnsi="Arial"/>
          <w:b/>
          <w:bCs/>
          <w:color w:val="17A589"/>
          <w:sz w:val="24"/>
          <w:szCs w:val="24"/>
        </w:rPr>
        <w:t xml:space="preserve">Sections 6–7: Subqueries &amp; IN/EXISTS</w:t>
      </w:r>
    </w:p>
    <w:p>
      <w:pPr>
        <w:pStyle w:val="ListParagraph"/>
        <w:numPr>
          <w:ilvl w:val="0"/>
          <w:numId w:val="2"/>
        </w:numPr>
        <w:spacing w:after="40" w:before="40"/>
      </w:pPr>
      <w:r>
        <w:rPr>
          <w:rFonts w:ascii="Arial" w:cs="Arial" w:eastAsia="Arial" w:hAnsi="Arial"/>
          <w:color w:val="1A1A2E"/>
          <w:sz w:val="22"/>
          <w:szCs w:val="22"/>
        </w:rPr>
        <w:t xml:space="preserve">Query 46: Correlated subquery — clients whose advisor manages more clients than the average advisor load (uses nested AVG over derived COUNT table, three levels of nesting).</w:t>
      </w:r>
    </w:p>
    <w:p>
      <w:pPr>
        <w:pStyle w:val="ListParagraph"/>
        <w:numPr>
          <w:ilvl w:val="0"/>
          <w:numId w:val="2"/>
        </w:numPr>
        <w:spacing w:after="40" w:before="40"/>
      </w:pPr>
      <w:r>
        <w:rPr>
          <w:rFonts w:ascii="Arial" w:cs="Arial" w:eastAsia="Arial" w:hAnsi="Arial"/>
          <w:color w:val="1A1A2E"/>
          <w:sz w:val="22"/>
          <w:szCs w:val="22"/>
        </w:rPr>
        <w:t xml:space="preserve">Query 47: Banking relationship type with the most clients using a scalar ORDER BY … LIMIT 1 subquery.</w:t>
      </w:r>
    </w:p>
    <w:p>
      <w:pPr>
        <w:pStyle w:val="ListParagraph"/>
        <w:numPr>
          <w:ilvl w:val="0"/>
          <w:numId w:val="2"/>
        </w:numPr>
        <w:spacing w:after="40" w:before="40"/>
      </w:pPr>
      <w:r>
        <w:rPr>
          <w:rFonts w:ascii="Arial" w:cs="Arial" w:eastAsia="Arial" w:hAnsi="Arial"/>
          <w:color w:val="1A1A2E"/>
          <w:sz w:val="22"/>
          <w:szCs w:val="22"/>
        </w:rPr>
        <w:t xml:space="preserve">Query 50: Clients whose advisor has the maximum client count, using nested MAX over derived GROUP BY COUNT.</w:t>
      </w:r>
    </w:p>
    <w:p>
      <w:pPr>
        <w:pStyle w:val="ListParagraph"/>
        <w:numPr>
          <w:ilvl w:val="0"/>
          <w:numId w:val="2"/>
        </w:numPr>
        <w:spacing w:after="40" w:before="40"/>
      </w:pPr>
      <w:r>
        <w:rPr>
          <w:rFonts w:ascii="Arial" w:cs="Arial" w:eastAsia="Arial" w:hAnsi="Arial"/>
          <w:color w:val="1A1A2E"/>
          <w:sz w:val="22"/>
          <w:szCs w:val="22"/>
        </w:rPr>
        <w:t xml:space="preserve">Query 57: EXISTS — advisors with at least one client assigned.</w:t>
      </w:r>
    </w:p>
    <w:p>
      <w:pPr>
        <w:pStyle w:val="ListParagraph"/>
        <w:numPr>
          <w:ilvl w:val="0"/>
          <w:numId w:val="2"/>
        </w:numPr>
        <w:spacing w:after="40" w:before="40"/>
      </w:pPr>
      <w:r>
        <w:rPr>
          <w:rFonts w:ascii="Arial" w:cs="Arial" w:eastAsia="Arial" w:hAnsi="Arial"/>
          <w:color w:val="1A1A2E"/>
          <w:sz w:val="22"/>
          <w:szCs w:val="22"/>
        </w:rPr>
        <w:t xml:space="preserve">Query 60: NOT EXISTS — advisors with zero clients assigned (expected: none, confirmed by data).</w:t>
      </w:r>
    </w:p>
    <w:p>
      <w:pPr>
        <w:pStyle w:val="ListParagraph"/>
        <w:numPr>
          <w:ilvl w:val="0"/>
          <w:numId w:val="2"/>
        </w:numPr>
        <w:spacing w:after="40" w:before="40"/>
      </w:pPr>
      <w:r>
        <w:rPr>
          <w:rFonts w:ascii="Arial" w:cs="Arial" w:eastAsia="Arial" w:hAnsi="Arial"/>
          <w:color w:val="1A1A2E"/>
          <w:sz w:val="22"/>
          <w:szCs w:val="22"/>
        </w:rPr>
        <w:t xml:space="preserve">Query 64: Double EXISTS — advisors managing clients of both GenderId = 1 AND GenderId = 2.</w:t>
      </w:r>
    </w:p>
    <w:p>
      <w:pPr>
        <w:pStyle w:val="ListParagraph"/>
        <w:numPr>
          <w:ilvl w:val="0"/>
          <w:numId w:val="2"/>
        </w:numPr>
        <w:spacing w:after="40" w:before="40"/>
      </w:pPr>
      <w:r>
        <w:rPr>
          <w:rFonts w:ascii="Arial" w:cs="Arial" w:eastAsia="Arial" w:hAnsi="Arial"/>
          <w:color w:val="1A1A2E"/>
          <w:sz w:val="22"/>
          <w:szCs w:val="22"/>
        </w:rPr>
        <w:t xml:space="preserve">Query 65: NOT EXISTS — advisors managing zero male clients.</w:t>
      </w:r>
    </w:p>
    <w:p>
      <w:pPr>
        <w:spacing w:after="80" w:before="200"/>
      </w:pPr>
      <w:r>
        <w:rPr>
          <w:rFonts w:ascii="Arial" w:cs="Arial" w:eastAsia="Arial" w:hAnsi="Arial"/>
          <w:b/>
          <w:bCs/>
          <w:color w:val="17A589"/>
          <w:sz w:val="24"/>
          <w:szCs w:val="24"/>
        </w:rPr>
        <w:t xml:space="preserve">Section 8: CTEs</w:t>
      </w:r>
    </w:p>
    <w:p>
      <w:pPr>
        <w:pStyle w:val="ListParagraph"/>
        <w:numPr>
          <w:ilvl w:val="0"/>
          <w:numId w:val="2"/>
        </w:numPr>
        <w:spacing w:after="40" w:before="40"/>
      </w:pPr>
      <w:r>
        <w:rPr>
          <w:rFonts w:ascii="Arial" w:cs="Arial" w:eastAsia="Arial" w:hAnsi="Arial"/>
          <w:color w:val="1A1A2E"/>
          <w:sz w:val="22"/>
          <w:szCs w:val="22"/>
        </w:rPr>
        <w:t xml:space="preserve">Query 66: Single CTE (AdvisorSummary) counting clients per advisor, joined back to investment_advisors with COALESCE for zero-count display.</w:t>
      </w:r>
    </w:p>
    <w:p>
      <w:pPr>
        <w:pStyle w:val="ListParagraph"/>
        <w:numPr>
          <w:ilvl w:val="0"/>
          <w:numId w:val="2"/>
        </w:numPr>
        <w:spacing w:after="40" w:before="40"/>
      </w:pPr>
      <w:r>
        <w:rPr>
          <w:rFonts w:ascii="Arial" w:cs="Arial" w:eastAsia="Arial" w:hAnsi="Arial"/>
          <w:color w:val="1A1A2E"/>
          <w:sz w:val="22"/>
          <w:szCs w:val="22"/>
        </w:rPr>
        <w:t xml:space="preserve">Query 67: Two parallel CTEs (AdvisorStats, BankingStats) compared via scalar SELECT in the outer query.</w:t>
      </w:r>
    </w:p>
    <w:p>
      <w:pPr>
        <w:pStyle w:val="ListParagraph"/>
        <w:numPr>
          <w:ilvl w:val="0"/>
          <w:numId w:val="2"/>
        </w:numPr>
        <w:spacing w:after="40" w:before="40"/>
      </w:pPr>
      <w:r>
        <w:rPr>
          <w:rFonts w:ascii="Arial" w:cs="Arial" w:eastAsia="Arial" w:hAnsi="Arial"/>
          <w:color w:val="1A1A2E"/>
          <w:sz w:val="22"/>
          <w:szCs w:val="22"/>
        </w:rPr>
        <w:t xml:space="preserve">Query 69: Market share CTE — each advisor's percentage of total clients via CROSS JOIN with TotalClients CTE.</w:t>
      </w:r>
    </w:p>
    <w:p>
      <w:pPr>
        <w:pStyle w:val="ListParagraph"/>
        <w:numPr>
          <w:ilvl w:val="0"/>
          <w:numId w:val="2"/>
        </w:numPr>
        <w:spacing w:after="40" w:before="40"/>
      </w:pPr>
      <w:r>
        <w:rPr>
          <w:rFonts w:ascii="Arial" w:cs="Arial" w:eastAsia="Arial" w:hAnsi="Arial"/>
          <w:color w:val="1A1A2E"/>
          <w:sz w:val="22"/>
          <w:szCs w:val="22"/>
        </w:rPr>
        <w:t xml:space="preserve">Query 70: Top 5 advisors by client count — RankedAdvisors CTE using ROW_NUMBER(), filtered WHERE rank_num &lt;= 5.</w:t>
      </w:r>
    </w:p>
    <w:p>
      <w:pPr>
        <w:pStyle w:val="ListParagraph"/>
        <w:numPr>
          <w:ilvl w:val="0"/>
          <w:numId w:val="2"/>
        </w:numPr>
        <w:spacing w:after="40" w:before="40"/>
      </w:pPr>
      <w:r>
        <w:rPr>
          <w:rFonts w:ascii="Arial" w:cs="Arial" w:eastAsia="Arial" w:hAnsi="Arial"/>
          <w:color w:val="1A1A2E"/>
          <w:sz w:val="22"/>
          <w:szCs w:val="22"/>
        </w:rPr>
        <w:t xml:space="preserve">Query 72: Advisor performance tiers — High Performer (≥20 clients), Medium Performer (≥10), Low Performer (&lt;10).</w:t>
      </w:r>
    </w:p>
    <w:p>
      <w:pPr>
        <w:pStyle w:val="ListParagraph"/>
        <w:numPr>
          <w:ilvl w:val="0"/>
          <w:numId w:val="2"/>
        </w:numPr>
        <w:spacing w:after="40" w:before="40"/>
      </w:pPr>
      <w:r>
        <w:rPr>
          <w:rFonts w:ascii="Arial" w:cs="Arial" w:eastAsia="Arial" w:hAnsi="Arial"/>
          <w:color w:val="1A1A2E"/>
          <w:sz w:val="22"/>
          <w:szCs w:val="22"/>
        </w:rPr>
        <w:t xml:space="preserve">Query 75: Four-CTE pipeline — AdvisorCounts → SortedAdvisors → CumulativeData → final SELECT — computing cumulative client distribution with percentage.</w:t>
      </w:r>
    </w:p>
    <w:p>
      <w:pPr>
        <w:spacing w:after="80" w:before="200"/>
      </w:pPr>
      <w:r>
        <w:rPr>
          <w:rFonts w:ascii="Arial" w:cs="Arial" w:eastAsia="Arial" w:hAnsi="Arial"/>
          <w:b/>
          <w:bCs/>
          <w:color w:val="17A589"/>
          <w:sz w:val="24"/>
          <w:szCs w:val="24"/>
        </w:rPr>
        <w:t xml:space="preserve">Sections 9–10: Window Functions</w:t>
      </w:r>
    </w:p>
    <w:p>
      <w:pPr>
        <w:pStyle w:val="ListParagraph"/>
        <w:numPr>
          <w:ilvl w:val="0"/>
          <w:numId w:val="2"/>
        </w:numPr>
        <w:spacing w:after="40" w:before="40"/>
      </w:pPr>
      <w:r>
        <w:rPr>
          <w:rFonts w:ascii="Arial" w:cs="Arial" w:eastAsia="Arial" w:hAnsi="Arial"/>
          <w:color w:val="1A1A2E"/>
          <w:sz w:val="22"/>
          <w:szCs w:val="22"/>
        </w:rPr>
        <w:t xml:space="preserve">Query 81: Four window functions on the same dataset simultaneously — ROW_NUMBER, RANK, DENSE_RANK, NTILE(3).</w:t>
      </w:r>
    </w:p>
    <w:p>
      <w:pPr>
        <w:pStyle w:val="ListParagraph"/>
        <w:numPr>
          <w:ilvl w:val="0"/>
          <w:numId w:val="2"/>
        </w:numPr>
        <w:spacing w:after="40" w:before="40"/>
      </w:pPr>
      <w:r>
        <w:rPr>
          <w:rFonts w:ascii="Arial" w:cs="Arial" w:eastAsia="Arial" w:hAnsi="Arial"/>
          <w:color w:val="1A1A2E"/>
          <w:sz w:val="22"/>
          <w:szCs w:val="22"/>
        </w:rPr>
        <w:t xml:space="preserve">Query 82: RANK() OVER (PARTITION BY GenderId ORDER BY usage_count DESC) — banking relationship popularity ranked within each gender.</w:t>
      </w:r>
    </w:p>
    <w:p>
      <w:pPr>
        <w:pStyle w:val="ListParagraph"/>
        <w:numPr>
          <w:ilvl w:val="0"/>
          <w:numId w:val="2"/>
        </w:numPr>
        <w:spacing w:after="40" w:before="40"/>
      </w:pPr>
      <w:r>
        <w:rPr>
          <w:rFonts w:ascii="Arial" w:cs="Arial" w:eastAsia="Arial" w:hAnsi="Arial"/>
          <w:color w:val="1A1A2E"/>
          <w:sz w:val="22"/>
          <w:szCs w:val="22"/>
        </w:rPr>
        <w:t xml:space="preserve">Query 86: LAG — each advisor's client count vs the previous advisor in descending count order.</w:t>
      </w:r>
    </w:p>
    <w:p>
      <w:pPr>
        <w:pStyle w:val="ListParagraph"/>
        <w:numPr>
          <w:ilvl w:val="0"/>
          <w:numId w:val="2"/>
        </w:numPr>
        <w:spacing w:after="40" w:before="40"/>
      </w:pPr>
      <w:r>
        <w:rPr>
          <w:rFonts w:ascii="Arial" w:cs="Arial" w:eastAsia="Arial" w:hAnsi="Arial"/>
          <w:color w:val="1A1A2E"/>
          <w:sz w:val="22"/>
          <w:szCs w:val="22"/>
        </w:rPr>
        <w:t xml:space="preserve">Query 87: LEAD — each advisor's client count vs the next advisor in descending count order.</w:t>
      </w:r>
    </w:p>
    <w:p>
      <w:pPr>
        <w:pStyle w:val="ListParagraph"/>
        <w:numPr>
          <w:ilvl w:val="0"/>
          <w:numId w:val="2"/>
        </w:numPr>
        <w:spacing w:after="40" w:before="40"/>
      </w:pPr>
      <w:r>
        <w:rPr>
          <w:rFonts w:ascii="Arial" w:cs="Arial" w:eastAsia="Arial" w:hAnsi="Arial"/>
          <w:color w:val="1A1A2E"/>
          <w:sz w:val="22"/>
          <w:szCs w:val="22"/>
        </w:rPr>
        <w:t xml:space="preserve">Query 88: FIRST_VALUE — most popular banking relationship per gender.</w:t>
      </w:r>
    </w:p>
    <w:p>
      <w:pPr>
        <w:pStyle w:val="ListParagraph"/>
        <w:numPr>
          <w:ilvl w:val="0"/>
          <w:numId w:val="2"/>
        </w:numPr>
        <w:spacing w:after="40" w:before="40"/>
      </w:pPr>
      <w:r>
        <w:rPr>
          <w:rFonts w:ascii="Arial" w:cs="Arial" w:eastAsia="Arial" w:hAnsi="Arial"/>
          <w:color w:val="1A1A2E"/>
          <w:sz w:val="22"/>
          <w:szCs w:val="22"/>
        </w:rPr>
        <w:t xml:space="preserve">Query 89: LAST_VALUE with ROWS BETWEEN UNBOUNDED PRECEDING AND UNBOUNDED FOLLOWING — least popular banking relationship per gender.</w:t>
      </w:r>
    </w:p>
    <w:p>
      <w:pPr>
        <w:pStyle w:val="ListParagraph"/>
        <w:numPr>
          <w:ilvl w:val="0"/>
          <w:numId w:val="2"/>
        </w:numPr>
        <w:spacing w:after="40" w:before="40"/>
      </w:pPr>
      <w:r>
        <w:rPr>
          <w:rFonts w:ascii="Arial" w:cs="Arial" w:eastAsia="Arial" w:hAnsi="Arial"/>
          <w:color w:val="1A1A2E"/>
          <w:sz w:val="22"/>
          <w:szCs w:val="22"/>
        </w:rPr>
        <w:t xml:space="preserve">Query 90: Running total of clients by advisor — SUM() OVER (ORDER BY IAId).</w:t>
      </w:r>
    </w:p>
    <w:p>
      <w:pPr>
        <w:pStyle w:val="ListParagraph"/>
        <w:numPr>
          <w:ilvl w:val="0"/>
          <w:numId w:val="2"/>
        </w:numPr>
        <w:spacing w:after="40" w:before="40"/>
      </w:pPr>
      <w:r>
        <w:rPr>
          <w:rFonts w:ascii="Arial" w:cs="Arial" w:eastAsia="Arial" w:hAnsi="Arial"/>
          <w:color w:val="1A1A2E"/>
          <w:sz w:val="22"/>
          <w:szCs w:val="22"/>
        </w:rPr>
        <w:t xml:space="preserve">Query 91: 3-advisor moving average — AVG() OVER (ROWS BETWEEN 1 PRECEDING AND 1 FOLLOWING).</w:t>
      </w:r>
    </w:p>
    <w:p>
      <w:pPr>
        <w:pStyle w:val="ListParagraph"/>
        <w:numPr>
          <w:ilvl w:val="0"/>
          <w:numId w:val="2"/>
        </w:numPr>
        <w:spacing w:after="40" w:before="40"/>
      </w:pPr>
      <w:r>
        <w:rPr>
          <w:rFonts w:ascii="Arial" w:cs="Arial" w:eastAsia="Arial" w:hAnsi="Arial"/>
          <w:color w:val="1A1A2E"/>
          <w:sz w:val="22"/>
          <w:szCs w:val="22"/>
        </w:rPr>
        <w:t xml:space="preserve">Query 93: Each advisor's percentage of total clients — client_count * 100.0 / SUM(client_count) OVER ().</w:t>
      </w:r>
    </w:p>
    <w:p>
      <w:pPr>
        <w:spacing w:after="80" w:before="200"/>
      </w:pPr>
      <w:r>
        <w:rPr>
          <w:rFonts w:ascii="Arial" w:cs="Arial" w:eastAsia="Arial" w:hAnsi="Arial"/>
          <w:b/>
          <w:bCs/>
          <w:color w:val="17A589"/>
          <w:sz w:val="24"/>
          <w:szCs w:val="24"/>
        </w:rPr>
        <w:t xml:space="preserve">Sections 11–13: CASE, UNION, Aggregations</w:t>
      </w:r>
    </w:p>
    <w:p>
      <w:pPr>
        <w:pStyle w:val="ListParagraph"/>
        <w:numPr>
          <w:ilvl w:val="0"/>
          <w:numId w:val="2"/>
        </w:numPr>
        <w:spacing w:after="40" w:before="40"/>
      </w:pPr>
      <w:r>
        <w:rPr>
          <w:rFonts w:ascii="Arial" w:cs="Arial" w:eastAsia="Arial" w:hAnsi="Arial"/>
          <w:color w:val="1A1A2E"/>
          <w:sz w:val="22"/>
          <w:szCs w:val="22"/>
        </w:rPr>
        <w:t xml:space="preserve">Query 96: Advisors categorised by portfolio size: Large Portfolio (≥150), Medium Portfolio (≥80), Small Portfolio (≥50), Very Small Portfolio (&lt;50).</w:t>
      </w:r>
    </w:p>
    <w:p>
      <w:pPr>
        <w:pStyle w:val="ListParagraph"/>
        <w:numPr>
          <w:ilvl w:val="0"/>
          <w:numId w:val="2"/>
        </w:numPr>
        <w:spacing w:after="40" w:before="40"/>
      </w:pPr>
      <w:r>
        <w:rPr>
          <w:rFonts w:ascii="Arial" w:cs="Arial" w:eastAsia="Arial" w:hAnsi="Arial"/>
          <w:color w:val="1A1A2E"/>
          <w:sz w:val="22"/>
          <w:szCs w:val="22"/>
        </w:rPr>
        <w:t xml:space="preserve">Query 97: SUM(CASE WHEN BRId IN …) — conditional count of clients by fee tier within each gender.</w:t>
      </w:r>
    </w:p>
    <w:p>
      <w:pPr>
        <w:pStyle w:val="ListParagraph"/>
        <w:numPr>
          <w:ilvl w:val="0"/>
          <w:numId w:val="2"/>
        </w:numPr>
        <w:spacing w:after="40" w:before="40"/>
      </w:pPr>
      <w:r>
        <w:rPr>
          <w:rFonts w:ascii="Arial" w:cs="Arial" w:eastAsia="Arial" w:hAnsi="Arial"/>
          <w:color w:val="1A1A2E"/>
          <w:sz w:val="22"/>
          <w:szCs w:val="22"/>
        </w:rPr>
        <w:t xml:space="preserve">Query 100: Data quality flag — CASE checks for NULL foreign keys and NOT EXISTS validation against all three lookup tables.</w:t>
      </w:r>
    </w:p>
    <w:p>
      <w:pPr>
        <w:pStyle w:val="ListParagraph"/>
        <w:numPr>
          <w:ilvl w:val="0"/>
          <w:numId w:val="2"/>
        </w:numPr>
        <w:spacing w:after="40" w:before="40"/>
      </w:pPr>
      <w:r>
        <w:rPr>
          <w:rFonts w:ascii="Arial" w:cs="Arial" w:eastAsia="Arial" w:hAnsi="Arial"/>
          <w:color w:val="1A1A2E"/>
          <w:sz w:val="22"/>
          <w:szCs w:val="22"/>
        </w:rPr>
        <w:t xml:space="preserve">Query 103: UNION of four single-row SELECT statements comparing total counts across advisors, banking relationships, gender categories, and clients.</w:t>
      </w:r>
    </w:p>
    <w:p>
      <w:pPr>
        <w:pStyle w:val="ListParagraph"/>
        <w:numPr>
          <w:ilvl w:val="0"/>
          <w:numId w:val="2"/>
        </w:numPr>
        <w:spacing w:after="40" w:before="40"/>
      </w:pPr>
      <w:r>
        <w:rPr>
          <w:rFonts w:ascii="Arial" w:cs="Arial" w:eastAsia="Arial" w:hAnsi="Arial"/>
          <w:color w:val="1A1A2E"/>
          <w:sz w:val="22"/>
          <w:szCs w:val="22"/>
        </w:rPr>
        <w:t xml:space="preserve">Query 108: STDDEV, VARIANCE, AVG, MIN, MAX on advisor client count distribution.</w:t>
      </w:r>
    </w:p>
    <w:p>
      <w:pPr>
        <w:spacing w:after="80" w:before="200"/>
      </w:pPr>
      <w:r>
        <w:rPr>
          <w:rFonts w:ascii="Arial" w:cs="Arial" w:eastAsia="Arial" w:hAnsi="Arial"/>
          <w:b/>
          <w:bCs/>
          <w:color w:val="17A589"/>
          <w:sz w:val="24"/>
          <w:szCs w:val="24"/>
        </w:rPr>
        <w:t xml:space="preserve">Sections 14–15: Recursive CTEs &amp; Business Scenarios</w:t>
      </w:r>
    </w:p>
    <w:p>
      <w:pPr>
        <w:pStyle w:val="ListParagraph"/>
        <w:numPr>
          <w:ilvl w:val="0"/>
          <w:numId w:val="2"/>
        </w:numPr>
        <w:spacing w:after="40" w:before="40"/>
      </w:pPr>
      <w:r>
        <w:rPr>
          <w:rFonts w:ascii="Arial" w:cs="Arial" w:eastAsia="Arial" w:hAnsi="Arial"/>
          <w:color w:val="1A1A2E"/>
          <w:sz w:val="22"/>
          <w:szCs w:val="22"/>
        </w:rPr>
        <w:t xml:space="preserve">Query 111: WITH RECURSIVE number series to identify gaps in advisor ID sequence.</w:t>
      </w:r>
    </w:p>
    <w:p>
      <w:pPr>
        <w:pStyle w:val="ListParagraph"/>
        <w:numPr>
          <w:ilvl w:val="0"/>
          <w:numId w:val="2"/>
        </w:numPr>
        <w:spacing w:after="40" w:before="40"/>
      </w:pPr>
      <w:r>
        <w:rPr>
          <w:rFonts w:ascii="Arial" w:cs="Arial" w:eastAsia="Arial" w:hAnsi="Arial"/>
          <w:color w:val="1A1A2E"/>
          <w:sz w:val="22"/>
          <w:szCs w:val="22"/>
        </w:rPr>
        <w:t xml:space="preserve">Query 112: WITH RECURSIVE hierarchy simulation — AdvisorHierarchy up to 3 levels.</w:t>
      </w:r>
    </w:p>
    <w:p>
      <w:pPr>
        <w:pStyle w:val="ListParagraph"/>
        <w:numPr>
          <w:ilvl w:val="0"/>
          <w:numId w:val="2"/>
        </w:numPr>
        <w:spacing w:after="40" w:before="40"/>
      </w:pPr>
      <w:r>
        <w:rPr>
          <w:rFonts w:ascii="Arial" w:cs="Arial" w:eastAsia="Arial" w:hAnsi="Arial"/>
          <w:color w:val="1A1A2E"/>
          <w:sz w:val="22"/>
          <w:szCs w:val="22"/>
        </w:rPr>
        <w:t xml:space="preserve">Query 113: Client segmentation — 'Premium High-Demand', 'Premium Niche', 'Standard High-Demand', 'Standard' based on advisor load and banking product popularity thresholds.</w:t>
      </w:r>
    </w:p>
    <w:p>
      <w:pPr>
        <w:pStyle w:val="ListParagraph"/>
        <w:numPr>
          <w:ilvl w:val="0"/>
          <w:numId w:val="2"/>
        </w:numPr>
        <w:spacing w:after="40" w:before="40"/>
      </w:pPr>
      <w:r>
        <w:rPr>
          <w:rFonts w:ascii="Arial" w:cs="Arial" w:eastAsia="Arial" w:hAnsi="Arial"/>
          <w:color w:val="1A1A2E"/>
          <w:sz w:val="22"/>
          <w:szCs w:val="22"/>
        </w:rPr>
        <w:t xml:space="preserve">Query 115: Gap analysis — CROSS JOIN of all advisor × gender × banking combinations LEFT JOINED against actual data to surface uncovered segments.</w:t>
      </w:r>
    </w:p>
    <w:p>
      <w:pPr>
        <w:pStyle w:val="ListParagraph"/>
        <w:numPr>
          <w:ilvl w:val="0"/>
          <w:numId w:val="2"/>
        </w:numPr>
        <w:spacing w:after="40" w:before="40"/>
      </w:pPr>
      <w:r>
        <w:rPr>
          <w:rFonts w:ascii="Arial" w:cs="Arial" w:eastAsia="Arial" w:hAnsi="Arial"/>
          <w:color w:val="1A1A2E"/>
          <w:sz w:val="22"/>
          <w:szCs w:val="22"/>
        </w:rPr>
        <w:t xml:space="preserve">Query 116: Concentration risk — flags High Risk (&gt;50% of clients in top advisors), Medium Risk (&gt;30%), or Low Risk.</w:t>
      </w:r>
    </w:p>
    <w:p>
      <w:pPr>
        <w:pStyle w:val="ListParagraph"/>
        <w:numPr>
          <w:ilvl w:val="0"/>
          <w:numId w:val="2"/>
        </w:numPr>
        <w:spacing w:after="40" w:before="40"/>
      </w:pPr>
      <w:r>
        <w:rPr>
          <w:rFonts w:ascii="Arial" w:cs="Arial" w:eastAsia="Arial" w:hAnsi="Arial"/>
          <w:color w:val="1A1A2E"/>
          <w:sz w:val="22"/>
          <w:szCs w:val="22"/>
        </w:rPr>
        <w:t xml:space="preserve">Query 117: Peer benchmarking — each advisor classified as 'Above Average', 'Average', or 'Below Average' against their NTILE(3) peer group average.</w:t>
      </w:r>
    </w:p>
    <w:p>
      <w:pPr>
        <w:pStyle w:val="ListParagraph"/>
        <w:numPr>
          <w:ilvl w:val="0"/>
          <w:numId w:val="2"/>
        </w:numPr>
        <w:spacing w:after="40" w:before="40"/>
      </w:pPr>
      <w:r>
        <w:rPr>
          <w:rFonts w:ascii="Arial" w:cs="Arial" w:eastAsia="Arial" w:hAnsi="Arial"/>
          <w:color w:val="1A1A2E"/>
          <w:sz w:val="22"/>
          <w:szCs w:val="22"/>
        </w:rPr>
        <w:t xml:space="preserve">Query 120: Executive KPI dashboard — TotalStats, AdvisorPerformance, GenderBalance, and TopBankingTypes CTEs combined via UNION ALL into a single result set.</w:t>
      </w:r>
    </w:p>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8"/>
          <w:szCs w:val="28"/>
        </w:rPr>
        <w:t xml:space="preserve">5.3 Notable Query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D6E4F0" w:val="clear"/>
            <w:tcMar>
              <w:top w:type="dxa" w:w="120"/>
              <w:left w:type="dxa" w:w="220"/>
              <w:bottom w:type="dxa" w:w="120"/>
              <w:right w:type="dxa" w:w="220"/>
            </w:tcMar>
          </w:tcPr>
          <w:p>
            <w:r>
              <w:rPr>
                <w:rFonts w:ascii="Arial" w:cs="Arial" w:eastAsia="Arial" w:hAnsi="Arial"/>
                <w:i/>
                <w:iCs/>
                <w:color w:val="1B3A6B"/>
                <w:sz w:val="21"/>
                <w:szCs w:val="21"/>
              </w:rPr>
              <w:t xml:space="preserve">Query 46 — Correlated Subquery: Finds clients whose advisor manages more clients than the overall average. Uses three nesting levels: outer WHERE → correlated COUNT subquery → AVG over a derived GROUP BY table.</w:t>
            </w:r>
          </w:p>
        </w:tc>
      </w:tr>
    </w:tbl>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D6E4F0" w:val="clear"/>
            <w:tcMar>
              <w:top w:type="dxa" w:w="120"/>
              <w:left w:type="dxa" w:w="220"/>
              <w:bottom w:type="dxa" w:w="120"/>
              <w:right w:type="dxa" w:w="220"/>
            </w:tcMar>
          </w:tcPr>
          <w:p>
            <w:r>
              <w:rPr>
                <w:rFonts w:ascii="Arial" w:cs="Arial" w:eastAsia="Arial" w:hAnsi="Arial"/>
                <w:i/>
                <w:iCs/>
                <w:color w:val="1B3A6B"/>
                <w:sz w:val="21"/>
                <w:szCs w:val="21"/>
              </w:rPr>
              <w:t xml:space="preserve">Query 75 — 4-CTE Cumulative Chain: AdvisorCounts → SortedAdvisors (ROW_NUMBER) → CumulativeData (SUM OVER + total) → final SELECT with ROUND percentage. Demonstrates progressive window aggregation across a CTE chain.</w:t>
            </w:r>
          </w:p>
        </w:tc>
      </w:tr>
    </w:tbl>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D6E4F0" w:val="clear"/>
            <w:tcMar>
              <w:top w:type="dxa" w:w="120"/>
              <w:left w:type="dxa" w:w="220"/>
              <w:bottom w:type="dxa" w:w="120"/>
              <w:right w:type="dxa" w:w="220"/>
            </w:tcMar>
          </w:tcPr>
          <w:p>
            <w:r>
              <w:rPr>
                <w:rFonts w:ascii="Arial" w:cs="Arial" w:eastAsia="Arial" w:hAnsi="Arial"/>
                <w:i/>
                <w:iCs/>
                <w:color w:val="1B3A6B"/>
                <w:sz w:val="21"/>
                <w:szCs w:val="21"/>
              </w:rPr>
              <w:t xml:space="preserve">Query 115 — Coverage Gap Analysis: CROSS JOIN generates all possible advisor × gender × banking combinations (22 × 2 × 4 = 176 combinations), then LEFT JOIN against actual data surfaces rows where no clients exist (status = 'Gap').</w:t>
            </w:r>
          </w:p>
        </w:tc>
      </w:tr>
    </w:tbl>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D6E4F0" w:val="clear"/>
            <w:tcMar>
              <w:top w:type="dxa" w:w="120"/>
              <w:left w:type="dxa" w:w="220"/>
              <w:bottom w:type="dxa" w:w="120"/>
              <w:right w:type="dxa" w:w="220"/>
            </w:tcMar>
          </w:tcPr>
          <w:p>
            <w:r>
              <w:rPr>
                <w:rFonts w:ascii="Arial" w:cs="Arial" w:eastAsia="Arial" w:hAnsi="Arial"/>
                <w:i/>
                <w:iCs/>
                <w:color w:val="1B3A6B"/>
                <w:sz w:val="21"/>
                <w:szCs w:val="21"/>
              </w:rPr>
              <w:t xml:space="preserve">Query 120 — Executive Dashboard UNION: Combines five CTEs (TotalStats, AdvisorPerformance, GenderBalance, TopBankingTypes) into a single tabular UNION ALL output suitable for direct dashboard rendering.</w:t>
            </w:r>
          </w:p>
        </w:tc>
      </w:tr>
    </w:tbl>
    <w:p>
      <w:r>
        <w:br w:type="page"/>
      </w:r>
    </w:p>
    <w:p>
      <w:pPr>
        <w:pStyle w:val="Heading1"/>
        <w:pBdr>
          <w:bottom w:val="single" w:color="2E75B6" w:sz="8" w:space="6"/>
        </w:pBdr>
        <w:spacing w:after="160" w:before="400"/>
      </w:pPr>
      <w:r>
        <w:rPr>
          <w:rFonts w:ascii="Arial" w:cs="Arial" w:eastAsia="Arial" w:hAnsi="Arial"/>
          <w:b/>
          <w:bCs/>
          <w:color w:val="1B3A6B"/>
          <w:sz w:val="36"/>
          <w:szCs w:val="36"/>
        </w:rPr>
        <w:t xml:space="preserve">6. Key Findings &amp; Insights</w:t>
      </w:r>
    </w:p>
    <w:p>
      <w:pPr>
        <w:pStyle w:val="Heading2"/>
        <w:spacing w:after="120" w:before="280"/>
      </w:pPr>
      <w:r>
        <w:rPr>
          <w:rFonts w:ascii="Arial" w:cs="Arial" w:eastAsia="Arial" w:hAnsi="Arial"/>
          <w:b/>
          <w:bCs/>
          <w:color w:val="2E75B6"/>
          <w:sz w:val="28"/>
          <w:szCs w:val="28"/>
        </w:rPr>
        <w:t xml:space="preserve">6.1 Client Demographics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Topic</w:t>
            </w:r>
          </w:p>
        </w:tc>
        <w:tc>
          <w:tcPr>
            <w:tcW w:type="dxa" w:w="756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Finding</w:t>
            </w:r>
          </w:p>
        </w:tc>
      </w:tr>
      <w:tr>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Nationality</w:t>
            </w:r>
          </w:p>
        </w:tc>
        <w:tc>
          <w:tcPr>
            <w:tcW w:type="dxa" w:w="7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European: 1,257 (43.63%) — largest group. Asian: 726 (25.20%). American: 485 (16.83%). Australian: 243 (8.43%). African: 170 (5.90%). Australian and African together account for 14.33%.</w:t>
            </w:r>
          </w:p>
        </w:tc>
      </w:tr>
      <w:tr>
        <w:tc>
          <w:tcPr>
            <w:tcW w:type="dxa" w:w="18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Gender</w:t>
            </w:r>
          </w:p>
        </w:tc>
        <w:tc>
          <w:tcPr>
            <w:tcW w:type="dxa" w:w="75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Near-equal split: Female 1,454 (50.47%) vs Male 1,427 (49.53%). No material gender skew across any product or advisor.</w:t>
            </w:r>
          </w:p>
        </w:tc>
      </w:tr>
      <w:tr>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Age</w:t>
            </w:r>
          </w:p>
        </w:tc>
        <w:tc>
          <w:tcPr>
            <w:tcW w:type="dxa" w:w="7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Range: 17 to 85. Average age: 50.98. Client base is broadly distributed across working-age and retirement-age cohorts.</w:t>
            </w:r>
          </w:p>
        </w:tc>
      </w:tr>
      <w:tr>
        <w:tc>
          <w:tcPr>
            <w:tcW w:type="dxa" w:w="18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Occupation</w:t>
            </w:r>
          </w:p>
        </w:tc>
        <w:tc>
          <w:tcPr>
            <w:tcW w:type="dxa" w:w="75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195 unique occupations. Top 5: Structural Analysis Engineer (26), Recruiter (25), Human Resources Manager (24), Associate Professor (24), Account Coordinator (23). No single occupation exceeds 0.9% of the total client base.</w:t>
            </w:r>
          </w:p>
        </w:tc>
      </w:tr>
      <w:tr>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Loyalty Tiers</w:t>
            </w:r>
          </w:p>
        </w:tc>
        <w:tc>
          <w:tcPr>
            <w:tcW w:type="dxa" w:w="7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Jade: 1,277 (44.32%) — largest and entry tier. Silver: 739 (25.65%). Gold: 564 (19.58%). Platinum: 301 (10.45%) — smallest and highest-value tier.</w:t>
            </w:r>
          </w:p>
        </w:tc>
      </w:tr>
      <w:tr>
        <w:tc>
          <w:tcPr>
            <w:tcW w:type="dxa" w:w="18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Fee Structure</w:t>
            </w:r>
          </w:p>
        </w:tc>
        <w:tc>
          <w:tcPr>
            <w:tcW w:type="dxa" w:w="75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High: 1,411 (48.98%) — the single largest fee tier. Mid: 924 (32.07%). Low: 546 (18.95%).</w:t>
            </w:r>
          </w:p>
        </w:tc>
      </w:tr>
      <w:tr>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Income Band</w:t>
            </w:r>
          </w:p>
        </w:tc>
        <w:tc>
          <w:tcPr>
            <w:tcW w:type="dxa" w:w="7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Medium (£100K–£300K): 1,446 (50.19%). Low (&lt;£100K): 991 (34.40%). High (&gt;£300K): 444 (15.41%).</w:t>
            </w:r>
          </w:p>
        </w:tc>
      </w:tr>
      <w:tr>
        <w:tc>
          <w:tcPr>
            <w:tcW w:type="dxa" w:w="18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Properties Owned</w:t>
            </w:r>
          </w:p>
        </w:tc>
        <w:tc>
          <w:tcPr>
            <w:tcW w:type="dxa" w:w="75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0: 678 (23.53%)  |  1: 746 (25.89%)  |  2: 744 (25.82%)  |  3: 713 (24.75%). Near-equal spread across all four values.</w:t>
            </w:r>
          </w:p>
        </w:tc>
      </w:tr>
      <w:tr>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Risk Weighting</w:t>
            </w:r>
          </w:p>
        </w:tc>
        <w:tc>
          <w:tcPr>
            <w:tcW w:type="dxa" w:w="7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Level 2 most common: 1,175 (40.78%). Level 1: 798 (27.70%). Levels 1–2 together = 68.48% of all clients. Level 5 (highest risk) least common: 154 (5.35%).</w:t>
            </w:r>
          </w:p>
        </w:tc>
      </w:tr>
      <w:tr>
        <w:tc>
          <w:tcPr>
            <w:tcW w:type="dxa" w:w="18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Credit Cards</w:t>
            </w:r>
          </w:p>
        </w:tc>
        <w:tc>
          <w:tcPr>
            <w:tcW w:type="dxa" w:w="75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1 card: 1,842 (63.94%). 2 cards: 737 (25.58%). 3 cards: 302 (10.48%). Average credit card balance: £3,181.35.</w:t>
            </w:r>
          </w:p>
        </w:tc>
      </w:tr>
    </w:tbl>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8"/>
          <w:szCs w:val="28"/>
        </w:rPr>
        <w:t xml:space="preserve">6.2 Financial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Topic</w:t>
            </w:r>
          </w:p>
        </w:tc>
        <w:tc>
          <w:tcPr>
            <w:tcW w:type="dxa" w:w="756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Finding</w:t>
            </w:r>
          </w:p>
        </w:tc>
      </w:tr>
      <w:tr>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Business Lending</w:t>
            </w:r>
          </w:p>
        </w:tc>
        <w:tc>
          <w:tcPr>
            <w:tcW w:type="dxa" w:w="7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Highest average balance at £866,569.29 per client — exceeds both Bank_Deposits (£670,232.11) and Bank_Loans (£593,264.90). Range: £0 – £3,825,961.94. 86 outliers (3.0%).</w:t>
            </w:r>
          </w:p>
        </w:tc>
      </w:tr>
      <w:tr>
        <w:tc>
          <w:tcPr>
            <w:tcW w:type="dxa" w:w="18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Deposits vs Loans</w:t>
            </w:r>
          </w:p>
        </w:tc>
        <w:tc>
          <w:tcPr>
            <w:tcW w:type="dxa" w:w="75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Average deposits (£670,232.11) exceed average loans (£593,264.90) — positive net position for the institution overall.</w:t>
            </w:r>
          </w:p>
        </w:tc>
      </w:tr>
      <w:tr>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Leverage (debt_to_income)</w:t>
            </w:r>
          </w:p>
        </w:tc>
        <w:tc>
          <w:tcPr>
            <w:tcW w:type="dxa" w:w="7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Average ratio: 4.7467. Maximum: 41.2155. Some clients carry debt more than 41× their annual income. Minimum: 0.0 (clients with no bank loans).</w:t>
            </w:r>
          </w:p>
        </w:tc>
      </w:tr>
      <w:tr>
        <w:tc>
          <w:tcPr>
            <w:tcW w:type="dxa" w:w="18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Savings Behaviour (savings_ratio)</w:t>
            </w:r>
          </w:p>
        </w:tc>
        <w:tc>
          <w:tcPr>
            <w:tcW w:type="dxa" w:w="75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Average ratio: 1.8271. Maximum: 20.1919 — some clients hold savings worth more than 20× their annual income. Minimum: 0.0 (clients with no saving account balance).</w:t>
            </w:r>
          </w:p>
        </w:tc>
      </w:tr>
      <w:tr>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Credit Card Balance</w:t>
            </w:r>
          </w:p>
        </w:tc>
        <w:tc>
          <w:tcPr>
            <w:tcW w:type="dxa" w:w="7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Average £3,181.35. Min £1.17. Max £13,991.99. 83 outliers (2.9%). Low relative to income — clients are not revolving-credit dependent.</w:t>
            </w:r>
          </w:p>
        </w:tc>
      </w:tr>
      <w:tr>
        <w:tc>
          <w:tcPr>
            <w:tcW w:type="dxa" w:w="18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Superannuation Savings</w:t>
            </w:r>
          </w:p>
        </w:tc>
        <w:tc>
          <w:tcPr>
            <w:tcW w:type="dxa" w:w="75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Average £25,558.28. Range: £1,482.03 – £75,963.90. 19 outliers (0.7%).</w:t>
            </w:r>
          </w:p>
        </w:tc>
      </w:tr>
      <w:tr>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Foreign Currency</w:t>
            </w:r>
          </w:p>
        </w:tc>
        <w:tc>
          <w:tcPr>
            <w:tcW w:type="dxa" w:w="7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Average £30,005.21. Narrow range: £45.00 – £124,704.87 (no zero values). 78 outliers (2.7%). Consistent with a structured FX product.</w:t>
            </w:r>
          </w:p>
        </w:tc>
      </w:tr>
      <w:tr>
        <w:tc>
          <w:tcPr>
            <w:tcW w:type="dxa" w:w="18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Outliers</w:t>
            </w:r>
          </w:p>
        </w:tc>
        <w:tc>
          <w:tcPr>
            <w:tcW w:type="dxa" w:w="75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Most outliers: Saving_Accounts (151, 5.2%), Bank_Deposits (146, 5.1%), Checking_Accounts (137, 4.8%). These represent high-net-worth clients, not data errors.</w:t>
            </w:r>
          </w:p>
        </w:tc>
      </w:tr>
      <w:tr>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Skewness</w:t>
            </w:r>
          </w:p>
        </w:tc>
        <w:tc>
          <w:tcPr>
            <w:tcW w:type="dxa" w:w="7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All 9 financial variables exhibit positive (right) skew. Mean &gt; median in every variable — driven by a small number of ultra-high-balance clients.</w:t>
            </w:r>
          </w:p>
        </w:tc>
      </w:tr>
    </w:tbl>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8"/>
          <w:szCs w:val="28"/>
        </w:rPr>
        <w:t xml:space="preserve">6.3 Banking Product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5360"/>
      </w:tblGrid>
      <w:tr>
        <w:tc>
          <w:tcPr>
            <w:tcW w:type="dxa" w:w="220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Banking Relationship</w:t>
            </w:r>
          </w:p>
        </w:tc>
        <w:tc>
          <w:tcPr>
            <w:tcW w:type="dxa" w:w="90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Count</w:t>
            </w:r>
          </w:p>
        </w:tc>
        <w:tc>
          <w:tcPr>
            <w:tcW w:type="dxa" w:w="90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Share</w:t>
            </w:r>
          </w:p>
        </w:tc>
        <w:tc>
          <w:tcPr>
            <w:tcW w:type="dxa" w:w="536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Insight</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Private Bank (BRId 3)</w:t>
            </w:r>
          </w:p>
        </w:tc>
        <w:tc>
          <w:tcPr>
            <w:tcW w:type="dxa" w:w="9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1,286</w:t>
            </w:r>
          </w:p>
        </w:tc>
        <w:tc>
          <w:tcPr>
            <w:tcW w:type="dxa" w:w="9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44.64%</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Dominant product — nearly half of all clients are Private Bank clients</w:t>
            </w:r>
          </w:p>
        </w:tc>
      </w:tr>
      <w:tr>
        <w:tc>
          <w:tcPr>
            <w:tcW w:type="dxa" w:w="22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Retail (BRId 1)</w:t>
            </w:r>
          </w:p>
        </w:tc>
        <w:tc>
          <w:tcPr>
            <w:tcW w:type="dxa" w:w="9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642</w:t>
            </w:r>
          </w:p>
        </w:tc>
        <w:tc>
          <w:tcPr>
            <w:tcW w:type="dxa" w:w="9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22.28%</w:t>
            </w:r>
          </w:p>
        </w:tc>
        <w:tc>
          <w:tcPr>
            <w:tcW w:type="dxa" w:w="53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Second-largest — standard consumer banking segment</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Institutional (BRId 2)</w:t>
            </w:r>
          </w:p>
        </w:tc>
        <w:tc>
          <w:tcPr>
            <w:tcW w:type="dxa" w:w="9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479</w:t>
            </w:r>
          </w:p>
        </w:tc>
        <w:tc>
          <w:tcPr>
            <w:tcW w:type="dxa" w:w="9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16.63%</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Corporate/institutional segment — nearly equal to Commercial</w:t>
            </w:r>
          </w:p>
        </w:tc>
      </w:tr>
      <w:tr>
        <w:tc>
          <w:tcPr>
            <w:tcW w:type="dxa" w:w="22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Commercial (BRId 4)</w:t>
            </w:r>
          </w:p>
        </w:tc>
        <w:tc>
          <w:tcPr>
            <w:tcW w:type="dxa" w:w="9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474</w:t>
            </w:r>
          </w:p>
        </w:tc>
        <w:tc>
          <w:tcPr>
            <w:tcW w:type="dxa" w:w="9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16.45%</w:t>
            </w:r>
          </w:p>
        </w:tc>
        <w:tc>
          <w:tcPr>
            <w:tcW w:type="dxa" w:w="53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Smallest segment — potential growth area for business banking</w:t>
            </w:r>
          </w:p>
        </w:tc>
      </w:tr>
    </w:tbl>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8"/>
          <w:szCs w:val="28"/>
        </w:rPr>
        <w:t xml:space="preserve">6.4 Investment Advisor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Metric</w:t>
            </w:r>
          </w:p>
        </w:tc>
        <w:tc>
          <w:tcPr>
            <w:tcW w:type="dxa" w:w="696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Value / Finding</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Total active advisors</w:t>
            </w:r>
          </w:p>
        </w:tc>
        <w:tc>
          <w:tcPr>
            <w:tcW w:type="dxa" w:w="6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22 — all 22 investment advisors have at least one client assigned</w:t>
            </w:r>
          </w:p>
        </w:tc>
      </w:tr>
      <w:tr>
        <w:tc>
          <w:tcPr>
            <w:tcW w:type="dxa" w:w="24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Average clients per advisor</w:t>
            </w:r>
          </w:p>
        </w:tc>
        <w:tc>
          <w:tcPr>
            <w:tcW w:type="dxa" w:w="69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130.95 (2,881 ÷ 22)</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Standard deviation</w:t>
            </w:r>
          </w:p>
        </w:tc>
        <w:tc>
          <w:tcPr>
            <w:tcW w:type="dxa" w:w="6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44.29 — indicates meaningful variation in portfolio size across advisors</w:t>
            </w:r>
          </w:p>
        </w:tc>
      </w:tr>
      <w:tr>
        <w:tc>
          <w:tcPr>
            <w:tcW w:type="dxa" w:w="24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Highest load</w:t>
            </w:r>
          </w:p>
        </w:tc>
        <w:tc>
          <w:tcPr>
            <w:tcW w:type="dxa" w:w="69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Peter Castillo (IAId 11): 174 clients</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Second and third highest</w:t>
            </w:r>
          </w:p>
        </w:tc>
        <w:tc>
          <w:tcPr>
            <w:tcW w:type="dxa" w:w="6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Daniel Carroll (IAId 13): 173 clients  |  Nicholas Ward (IAId 15): 173 clients</w:t>
            </w:r>
          </w:p>
        </w:tc>
      </w:tr>
      <w:tr>
        <w:tc>
          <w:tcPr>
            <w:tcW w:type="dxa" w:w="24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Fourth and fifth highest</w:t>
            </w:r>
          </w:p>
        </w:tc>
        <w:tc>
          <w:tcPr>
            <w:tcW w:type="dxa" w:w="69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Victor Dean (IAId 1): 172 clients  |  Eric Shaw (IAId 4): 172 clients</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Lowest load</w:t>
            </w:r>
          </w:p>
        </w:tc>
        <w:tc>
          <w:tcPr>
            <w:tcW w:type="dxa" w:w="6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Kevin Kim (IAId 5): 81 clients  |  Juan Ramirez (IAId 21): 81 clients</w:t>
            </w:r>
          </w:p>
        </w:tc>
      </w:tr>
      <w:tr>
        <w:tc>
          <w:tcPr>
            <w:tcW w:type="dxa" w:w="24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Load range</w:t>
            </w:r>
          </w:p>
        </w:tc>
        <w:tc>
          <w:tcPr>
            <w:tcW w:type="dxa" w:w="69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81 to 174 clients — a ratio of 2.15× between lightest and heaviest portfolios</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Top 5 combined share</w:t>
            </w:r>
          </w:p>
        </w:tc>
        <w:tc>
          <w:tcPr>
            <w:tcW w:type="dxa" w:w="6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Peter Castillo + Daniel Carroll + Nicholas Ward + Victor Dean + Eric Shaw = 864 clients = 29.99% (~30%) of all clients</w:t>
            </w:r>
          </w:p>
        </w:tc>
      </w:tr>
      <w:tr>
        <w:tc>
          <w:tcPr>
            <w:tcW w:type="dxa" w:w="24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Gender coverage</w:t>
            </w:r>
          </w:p>
        </w:tc>
        <w:tc>
          <w:tcPr>
            <w:tcW w:type="dxa" w:w="69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All 22 advisors manage clients of both genders (confirmed by SQL Query 64)</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Unassigned advisors</w:t>
            </w:r>
          </w:p>
        </w:tc>
        <w:tc>
          <w:tcPr>
            <w:tcW w:type="dxa" w:w="6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Zero — all 22 advisors have clients (confirmed by SQL Query 32)</w:t>
            </w:r>
          </w:p>
        </w:tc>
      </w:tr>
    </w:tbl>
    <w:p>
      <w:r>
        <w:br w:type="page"/>
      </w:r>
    </w:p>
    <w:p>
      <w:pPr>
        <w:pStyle w:val="Heading1"/>
        <w:pBdr>
          <w:bottom w:val="single" w:color="2E75B6" w:sz="8" w:space="6"/>
        </w:pBdr>
        <w:spacing w:after="160" w:before="400"/>
      </w:pPr>
      <w:r>
        <w:rPr>
          <w:rFonts w:ascii="Arial" w:cs="Arial" w:eastAsia="Arial" w:hAnsi="Arial"/>
          <w:b/>
          <w:bCs/>
          <w:color w:val="1B3A6B"/>
          <w:sz w:val="36"/>
          <w:szCs w:val="36"/>
        </w:rPr>
        <w:t xml:space="preserve">7. Power BI Dashboard  (banking_dashboard.pbix)</w:t>
      </w:r>
    </w:p>
    <w:p>
      <w:pPr>
        <w:spacing w:after="80" w:before="60"/>
      </w:pPr>
      <w:r>
        <w:rPr>
          <w:rFonts w:ascii="Arial" w:cs="Arial" w:eastAsia="Arial" w:hAnsi="Arial"/>
          <w:color w:val="1A1A2E"/>
          <w:sz w:val="22"/>
          <w:szCs w:val="22"/>
        </w:rPr>
        <w:t xml:space="preserve">The Power BI report provides an interactive, executive-facing layer built on top of the cleaned CSV output from the Python EDA. It translates statistical findings into actionable visuals accessible to non-technical stakeholders.</w:t>
      </w:r>
    </w:p>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8"/>
          <w:szCs w:val="28"/>
        </w:rPr>
        <w:t xml:space="preserve">7.1 Data Connection</w:t>
      </w:r>
    </w:p>
    <w:p>
      <w:pPr>
        <w:pStyle w:val="ListParagraph"/>
        <w:numPr>
          <w:ilvl w:val="0"/>
          <w:numId w:val="2"/>
        </w:numPr>
        <w:spacing w:after="40" w:before="40"/>
      </w:pPr>
      <w:r>
        <w:rPr>
          <w:rFonts w:ascii="Arial" w:cs="Arial" w:eastAsia="Arial" w:hAnsi="Arial"/>
          <w:color w:val="1A1A2E"/>
          <w:sz w:val="22"/>
          <w:szCs w:val="22"/>
        </w:rPr>
        <w:t xml:space="preserve">Source: cleaned_banking_data.csv (exported from eda_python.ipynb via df.to_csv()).</w:t>
      </w:r>
    </w:p>
    <w:p>
      <w:pPr>
        <w:pStyle w:val="ListParagraph"/>
        <w:numPr>
          <w:ilvl w:val="0"/>
          <w:numId w:val="2"/>
        </w:numPr>
        <w:spacing w:after="40" w:before="40"/>
      </w:pPr>
      <w:r>
        <w:rPr>
          <w:rFonts w:ascii="Arial" w:cs="Arial" w:eastAsia="Arial" w:hAnsi="Arial"/>
          <w:color w:val="1A1A2E"/>
          <w:sz w:val="22"/>
          <w:szCs w:val="22"/>
        </w:rPr>
        <w:t xml:space="preserve">Relationships established in the Power BI model to match the MySQL foreign key structure: clients → gender, clients → banking_relationships, clients → investment_advisors.</w:t>
      </w:r>
    </w:p>
    <w:p>
      <w:pPr>
        <w:pStyle w:val="ListParagraph"/>
        <w:numPr>
          <w:ilvl w:val="0"/>
          <w:numId w:val="2"/>
        </w:numPr>
        <w:spacing w:after="40" w:before="40"/>
      </w:pPr>
      <w:r>
        <w:rPr>
          <w:rFonts w:ascii="Arial" w:cs="Arial" w:eastAsia="Arial" w:hAnsi="Arial"/>
          <w:color w:val="1A1A2E"/>
          <w:sz w:val="22"/>
          <w:szCs w:val="22"/>
        </w:rPr>
        <w:t xml:space="preserve">All 3 derived columns (Income Band, debt_to_income, savings_ratio) are available as report fields.</w:t>
      </w:r>
    </w:p>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8"/>
          <w:szCs w:val="28"/>
        </w:rPr>
        <w:t xml:space="preserve">7.2 Dashboard Visual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Visual Type</w:t>
            </w:r>
          </w:p>
        </w:tc>
        <w:tc>
          <w:tcPr>
            <w:tcW w:type="dxa" w:w="320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Metric / Dimension</w:t>
            </w:r>
          </w:p>
        </w:tc>
        <w:tc>
          <w:tcPr>
            <w:tcW w:type="dxa" w:w="416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Purpose</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KPI Cards</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Total Clients, Active Advisors, Avg Estimated Income, Avg Bank Deposits, Avg Business Lending</w:t>
            </w:r>
          </w:p>
        </w:tc>
        <w:tc>
          <w:tcPr>
            <w:tcW w:type="dxa" w:w="4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At-a-glance executive summary</w:t>
            </w:r>
          </w:p>
        </w:tc>
      </w:tr>
      <w:tr>
        <w:tc>
          <w:tcPr>
            <w:tcW w:type="dxa" w:w="20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Bar Charts</w:t>
            </w:r>
          </w:p>
        </w:tc>
        <w:tc>
          <w:tcPr>
            <w:tcW w:type="dxa" w:w="32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Clients by Nationality, by Loyalty Classification, by Fee Structure, by Top Occupations</w:t>
            </w:r>
          </w:p>
        </w:tc>
        <w:tc>
          <w:tcPr>
            <w:tcW w:type="dxa" w:w="41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Demographic profiling</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Donut / Pie Charts</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Gender split, Income Band distribution, Banking Relationship type mix</w:t>
            </w:r>
          </w:p>
        </w:tc>
        <w:tc>
          <w:tcPr>
            <w:tcW w:type="dxa" w:w="4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Proportional breakdowns</w:t>
            </w:r>
          </w:p>
        </w:tc>
      </w:tr>
      <w:tr>
        <w:tc>
          <w:tcPr>
            <w:tcW w:type="dxa" w:w="20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Stacked Bar</w:t>
            </w:r>
          </w:p>
        </w:tc>
        <w:tc>
          <w:tcPr>
            <w:tcW w:type="dxa" w:w="32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Banking Relationship × Gender; Loyalty × Income Band</w:t>
            </w:r>
          </w:p>
        </w:tc>
        <w:tc>
          <w:tcPr>
            <w:tcW w:type="dxa" w:w="41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Cross-dimensional analysis</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Table Visual</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Advisor Name, Client Count, Market Share %, Gender Diversity</w:t>
            </w:r>
          </w:p>
        </w:tc>
        <w:tc>
          <w:tcPr>
            <w:tcW w:type="dxa" w:w="4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Advisor performance league table</w:t>
            </w:r>
          </w:p>
        </w:tc>
      </w:tr>
      <w:tr>
        <w:tc>
          <w:tcPr>
            <w:tcW w:type="dxa" w:w="20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Scatter Chart</w:t>
            </w:r>
          </w:p>
        </w:tc>
        <w:tc>
          <w:tcPr>
            <w:tcW w:type="dxa" w:w="32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Estimated_Income vs Bank_Deposits; Bank_Loans vs Business_Lending</w:t>
            </w:r>
          </w:p>
        </w:tc>
        <w:tc>
          <w:tcPr>
            <w:tcW w:type="dxa" w:w="41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Correlation visualisation</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Box / Distribution</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Financial variables by Income Band</w:t>
            </w:r>
          </w:p>
        </w:tc>
        <w:tc>
          <w:tcPr>
            <w:tcW w:type="dxa" w:w="4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Distribution by segment</w:t>
            </w:r>
          </w:p>
        </w:tc>
      </w:tr>
      <w:tr>
        <w:tc>
          <w:tcPr>
            <w:tcW w:type="dxa" w:w="20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Slicers</w:t>
            </w:r>
          </w:p>
        </w:tc>
        <w:tc>
          <w:tcPr>
            <w:tcW w:type="dxa" w:w="32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Nationality, Gender, Income Band, Banking Relationship, Loyalty Tier, Risk Weighting</w:t>
            </w:r>
          </w:p>
        </w:tc>
        <w:tc>
          <w:tcPr>
            <w:tcW w:type="dxa" w:w="41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Interactive cross-filtering</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Risk Heatmap</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Risk_Weighting × Nationality</w:t>
            </w:r>
          </w:p>
        </w:tc>
        <w:tc>
          <w:tcPr>
            <w:tcW w:type="dxa" w:w="4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Risk concentration by demographic group</w:t>
            </w:r>
          </w:p>
        </w:tc>
      </w:tr>
    </w:tbl>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8"/>
          <w:szCs w:val="28"/>
        </w:rPr>
        <w:t xml:space="preserve">7.3 Key Dashboard Insights Enabled</w:t>
      </w:r>
    </w:p>
    <w:p>
      <w:pPr>
        <w:pStyle w:val="ListParagraph"/>
        <w:numPr>
          <w:ilvl w:val="0"/>
          <w:numId w:val="2"/>
        </w:numPr>
        <w:spacing w:after="40" w:before="40"/>
      </w:pPr>
      <w:r>
        <w:rPr>
          <w:rFonts w:ascii="Arial" w:cs="Arial" w:eastAsia="Arial" w:hAnsi="Arial"/>
          <w:color w:val="1A1A2E"/>
          <w:sz w:val="22"/>
          <w:szCs w:val="22"/>
        </w:rPr>
        <w:t xml:space="preserve">Filtering by Nationality reveals how the European (43.63%) and Asian (25.20%) segments differ across income, deposits, and banking product preferences.</w:t>
      </w:r>
    </w:p>
    <w:p>
      <w:pPr>
        <w:pStyle w:val="ListParagraph"/>
        <w:numPr>
          <w:ilvl w:val="0"/>
          <w:numId w:val="2"/>
        </w:numPr>
        <w:spacing w:after="40" w:before="40"/>
      </w:pPr>
      <w:r>
        <w:rPr>
          <w:rFonts w:ascii="Arial" w:cs="Arial" w:eastAsia="Arial" w:hAnsi="Arial"/>
          <w:color w:val="1A1A2E"/>
          <w:sz w:val="22"/>
          <w:szCs w:val="22"/>
        </w:rPr>
        <w:t xml:space="preserve">Income Band slicer shows High income clients (15.41%) are disproportionately concentrated in Private Bank relationships.</w:t>
      </w:r>
    </w:p>
    <w:p>
      <w:pPr>
        <w:pStyle w:val="ListParagraph"/>
        <w:numPr>
          <w:ilvl w:val="0"/>
          <w:numId w:val="2"/>
        </w:numPr>
        <w:spacing w:after="40" w:before="40"/>
      </w:pPr>
      <w:r>
        <w:rPr>
          <w:rFonts w:ascii="Arial" w:cs="Arial" w:eastAsia="Arial" w:hAnsi="Arial"/>
          <w:color w:val="1A1A2E"/>
          <w:sz w:val="22"/>
          <w:szCs w:val="22"/>
        </w:rPr>
        <w:t xml:space="preserve">Advisor league table sorted by client count immediately surfaces Peter Castillo (174), Daniel Carroll (173), and Nicholas Ward (173) as the top three.</w:t>
      </w:r>
    </w:p>
    <w:p>
      <w:pPr>
        <w:pStyle w:val="ListParagraph"/>
        <w:numPr>
          <w:ilvl w:val="0"/>
          <w:numId w:val="2"/>
        </w:numPr>
        <w:spacing w:after="40" w:before="40"/>
      </w:pPr>
      <w:r>
        <w:rPr>
          <w:rFonts w:ascii="Arial" w:cs="Arial" w:eastAsia="Arial" w:hAnsi="Arial"/>
          <w:color w:val="1A1A2E"/>
          <w:sz w:val="22"/>
          <w:szCs w:val="22"/>
        </w:rPr>
        <w:t xml:space="preserve">Risk Weighting filter highlights that Level 4–5 clients (16.14% combined) tend toward Institutional and Commercial banking relationships.</w:t>
      </w:r>
    </w:p>
    <w:p>
      <w:pPr>
        <w:pStyle w:val="ListParagraph"/>
        <w:numPr>
          <w:ilvl w:val="0"/>
          <w:numId w:val="2"/>
        </w:numPr>
        <w:spacing w:after="40" w:before="40"/>
      </w:pPr>
      <w:r>
        <w:rPr>
          <w:rFonts w:ascii="Arial" w:cs="Arial" w:eastAsia="Arial" w:hAnsi="Arial"/>
          <w:color w:val="1A1A2E"/>
          <w:sz w:val="22"/>
          <w:szCs w:val="22"/>
        </w:rPr>
        <w:t xml:space="preserve">Loyalty tier cross-filter confirms that Platinum clients hold higher average deposits and savings ratios than Jade clients, validating the financial profile difference by tier.</w:t>
      </w:r>
    </w:p>
    <w:p>
      <w:r>
        <w:br w:type="page"/>
      </w:r>
    </w:p>
    <w:p>
      <w:pPr>
        <w:pStyle w:val="Heading1"/>
        <w:pBdr>
          <w:bottom w:val="single" w:color="2E75B6" w:sz="8" w:space="6"/>
        </w:pBdr>
        <w:spacing w:after="160" w:before="400"/>
      </w:pPr>
      <w:r>
        <w:rPr>
          <w:rFonts w:ascii="Arial" w:cs="Arial" w:eastAsia="Arial" w:hAnsi="Arial"/>
          <w:b/>
          <w:bCs/>
          <w:color w:val="1B3A6B"/>
          <w:sz w:val="36"/>
          <w:szCs w:val="36"/>
        </w:rPr>
        <w:t xml:space="preserve">8. Data Quality Assessment</w:t>
      </w:r>
    </w:p>
    <w:p>
      <w:pPr>
        <w:pStyle w:val="Heading2"/>
        <w:spacing w:after="120" w:before="280"/>
      </w:pPr>
      <w:r>
        <w:rPr>
          <w:rFonts w:ascii="Arial" w:cs="Arial" w:eastAsia="Arial" w:hAnsi="Arial"/>
          <w:b/>
          <w:bCs/>
          <w:color w:val="2E75B6"/>
          <w:sz w:val="28"/>
          <w:szCs w:val="28"/>
        </w:rPr>
        <w:t xml:space="preserve">8.1 Python-Level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Check</w:t>
            </w:r>
          </w:p>
        </w:tc>
        <w:tc>
          <w:tcPr>
            <w:tcW w:type="dxa" w:w="260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Method</w:t>
            </w:r>
          </w:p>
        </w:tc>
        <w:tc>
          <w:tcPr>
            <w:tcW w:type="dxa" w:w="476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Result</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Missing values</w:t>
            </w:r>
          </w:p>
        </w:tc>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df.isnull().sum()</w:t>
            </w:r>
          </w:p>
        </w:tc>
        <w:tc>
          <w:tcPr>
            <w:tcW w:type="dxa" w:w="4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Zero missing values across all 28 columns</w:t>
            </w:r>
          </w:p>
        </w:tc>
      </w:tr>
      <w:tr>
        <w:tc>
          <w:tcPr>
            <w:tcW w:type="dxa" w:w="20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Duplicate records</w:t>
            </w:r>
          </w:p>
        </w:tc>
        <w:tc>
          <w:tcPr>
            <w:tcW w:type="dxa" w:w="26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df.duplicated().sum()</w:t>
            </w:r>
          </w:p>
        </w:tc>
        <w:tc>
          <w:tcPr>
            <w:tcW w:type="dxa" w:w="47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Zero duplicate records in 2,881 rows</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Data type validation</w:t>
            </w:r>
          </w:p>
        </w:tc>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df.dtypes</w:t>
            </w:r>
          </w:p>
        </w:tc>
        <w:tc>
          <w:tcPr>
            <w:tcW w:type="dxa" w:w="4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All 9 financial columns: float64. IDs/counts: int64. Categoricals: object</w:t>
            </w:r>
          </w:p>
        </w:tc>
      </w:tr>
      <w:tr>
        <w:tc>
          <w:tcPr>
            <w:tcW w:type="dxa" w:w="20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Column name cleaning</w:t>
            </w:r>
          </w:p>
        </w:tc>
        <w:tc>
          <w:tcPr>
            <w:tcW w:type="dxa" w:w="26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col.replace(' ', '_')</w:t>
            </w:r>
          </w:p>
        </w:tc>
        <w:tc>
          <w:tcPr>
            <w:tcW w:type="dxa" w:w="47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All column names standardised; no spaces remain in column names after cleaning step</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Outlier detection</w:t>
            </w:r>
          </w:p>
        </w:tc>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IQR method per column</w:t>
            </w:r>
          </w:p>
        </w:tc>
        <w:tc>
          <w:tcPr>
            <w:tcW w:type="dxa" w:w="4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Outliers present across all 9 financial columns — highest counts in Saving_Accounts (151), Bank_Deposits (146), Checking_Accounts (137). Represent high-net-worth clients, not data entry errors</w:t>
            </w:r>
          </w:p>
        </w:tc>
      </w:tr>
      <w:tr>
        <w:tc>
          <w:tcPr>
            <w:tcW w:type="dxa" w:w="20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Skewness check</w:t>
            </w:r>
          </w:p>
        </w:tc>
        <w:tc>
          <w:tcPr>
            <w:tcW w:type="dxa" w:w="26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df[numerical_col].skew()</w:t>
            </w:r>
          </w:p>
        </w:tc>
        <w:tc>
          <w:tcPr>
            <w:tcW w:type="dxa" w:w="47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All 9 financial variables show positive skew — consistent with wealth distribution patterns</w:t>
            </w:r>
          </w:p>
        </w:tc>
      </w:tr>
    </w:tbl>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8"/>
          <w:szCs w:val="28"/>
        </w:rPr>
        <w:t xml:space="preserve">8.2 SQL-Level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Check</w:t>
            </w:r>
          </w:p>
        </w:tc>
        <w:tc>
          <w:tcPr>
            <w:tcW w:type="dxa" w:w="260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Query</w:t>
            </w:r>
          </w:p>
        </w:tc>
        <w:tc>
          <w:tcPr>
            <w:tcW w:type="dxa" w:w="396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Result</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Invalid advisor references</w:t>
            </w:r>
          </w:p>
        </w:tc>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Query 42 — RIGHT JOIN NULL check</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No clients reference a non-existent IAId</w:t>
            </w:r>
          </w:p>
        </w:tc>
      </w:tr>
      <w:tr>
        <w:tc>
          <w:tcPr>
            <w:tcW w:type="dxa" w:w="28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Unused banking relationship types</w:t>
            </w:r>
          </w:p>
        </w:tc>
        <w:tc>
          <w:tcPr>
            <w:tcW w:type="dxa" w:w="26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Query 34 — LEFT JOIN NULL check</w:t>
            </w:r>
          </w:p>
        </w:tc>
        <w:tc>
          <w:tcPr>
            <w:tcW w:type="dxa" w:w="39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All 4 BRId values (1–4) are actively used</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Advisors with no clients</w:t>
            </w:r>
          </w:p>
        </w:tc>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Query 32 — LEFT JOIN NULL check</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All 22 advisors have at least one client assigned</w:t>
            </w:r>
          </w:p>
        </w:tc>
      </w:tr>
      <w:tr>
        <w:tc>
          <w:tcPr>
            <w:tcW w:type="dxa" w:w="28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Full FK validation</w:t>
            </w:r>
          </w:p>
        </w:tc>
        <w:tc>
          <w:tcPr>
            <w:tcW w:type="dxa" w:w="26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Query 100 — NOT EXISTS for BRId, GenderId, IAId</w:t>
            </w:r>
          </w:p>
        </w:tc>
        <w:tc>
          <w:tcPr>
            <w:tcW w:type="dxa" w:w="39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All foreign key references resolve correctly; all records return status 'Valid'</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Gender coverage per advisor</w:t>
            </w:r>
          </w:p>
        </w:tc>
        <w:tc>
          <w:tcPr>
            <w:tcW w:type="dxa" w:w="2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Query 64 — double EXISTS</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All active advisors serve clients of both genders</w:t>
            </w:r>
          </w:p>
        </w:tc>
      </w:tr>
      <w:tr>
        <w:tc>
          <w:tcPr>
            <w:tcW w:type="dxa" w:w="28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Unassigned advisors</w:t>
            </w:r>
          </w:p>
        </w:tc>
        <w:tc>
          <w:tcPr>
            <w:tcW w:type="dxa" w:w="26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Query 60 — NOT EXISTS</w:t>
            </w:r>
          </w:p>
        </w:tc>
        <w:tc>
          <w:tcPr>
            <w:tcW w:type="dxa" w:w="39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Zero advisors found with no clients</w:t>
            </w:r>
          </w:p>
        </w:tc>
      </w:tr>
    </w:tbl>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8"/>
          <w:szCs w:val="28"/>
        </w:rPr>
        <w:t xml:space="preserve">8.3 Known Issues in eda_mysql.sql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8"/>
              <w:bottom w:val="single" w:color="E67E22" w:sz="1"/>
              <w:right w:val="single" w:color="E67E22" w:sz="1"/>
            </w:tcBorders>
            <w:shd w:fill="FEF9E7" w:val="clear"/>
            <w:tcMar>
              <w:top w:type="dxa" w:w="120"/>
              <w:left w:type="dxa" w:w="220"/>
              <w:bottom w:type="dxa" w:w="120"/>
              <w:right w:type="dxa" w:w="220"/>
            </w:tcMar>
          </w:tcPr>
          <w:p>
            <w:r>
              <w:rPr>
                <w:rFonts w:ascii="Arial" w:cs="Arial" w:eastAsia="Arial" w:hAnsi="Arial"/>
                <w:i/>
                <w:iCs/>
                <w:color w:val="7D6608"/>
                <w:sz w:val="21"/>
                <w:szCs w:val="21"/>
              </w:rPr>
              <w:t xml:space="preserve">Issue 1 — Missing Queries: Queries 51–55 are absent from the file. The Section 6 header labels it 'Subqueries (46–55)' but the file jumps directly from query 50 to Section 7 (query 56). Five query definitions are missing.</w:t>
            </w:r>
          </w:p>
        </w:tc>
      </w:tr>
    </w:tbl>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8"/>
              <w:bottom w:val="single" w:color="E67E22" w:sz="1"/>
              <w:right w:val="single" w:color="E67E22" w:sz="1"/>
            </w:tcBorders>
            <w:shd w:fill="FEF9E7" w:val="clear"/>
            <w:tcMar>
              <w:top w:type="dxa" w:w="120"/>
              <w:left w:type="dxa" w:w="220"/>
              <w:bottom w:type="dxa" w:w="120"/>
              <w:right w:type="dxa" w:w="220"/>
            </w:tcMar>
          </w:tcPr>
          <w:p>
            <w:r>
              <w:rPr>
                <w:rFonts w:ascii="Arial" w:cs="Arial" w:eastAsia="Arial" w:hAnsi="Arial"/>
                <w:i/>
                <w:iCs/>
                <w:color w:val="7D6608"/>
                <w:sz w:val="21"/>
                <w:szCs w:val="21"/>
              </w:rPr>
              <w:t xml:space="preserve">Issue 2 — Duplicate Queries: Queries 82–85 appear twice in the file — once at the end of Section 9 and again at the start of Section 10. This inflates the apparent query count from 115 to 119 unique numbered entries in the file.</w:t>
            </w:r>
          </w:p>
        </w:tc>
      </w:tr>
    </w:tbl>
    <w:p>
      <w:r>
        <w:br w:type="page"/>
      </w:r>
    </w:p>
    <w:p>
      <w:pPr>
        <w:pStyle w:val="Heading1"/>
        <w:pBdr>
          <w:bottom w:val="single" w:color="2E75B6" w:sz="8" w:space="6"/>
        </w:pBdr>
        <w:spacing w:after="160" w:before="400"/>
      </w:pPr>
      <w:r>
        <w:rPr>
          <w:rFonts w:ascii="Arial" w:cs="Arial" w:eastAsia="Arial" w:hAnsi="Arial"/>
          <w:b/>
          <w:bCs/>
          <w:color w:val="1B3A6B"/>
          <w:sz w:val="36"/>
          <w:szCs w:val="36"/>
        </w:rPr>
        <w:t xml:space="preserve">9. Recommendations</w:t>
      </w:r>
    </w:p>
    <w:p>
      <w:pPr>
        <w:pStyle w:val="Heading2"/>
        <w:spacing w:after="120" w:before="280"/>
      </w:pPr>
      <w:r>
        <w:rPr>
          <w:rFonts w:ascii="Arial" w:cs="Arial" w:eastAsia="Arial" w:hAnsi="Arial"/>
          <w:b/>
          <w:bCs/>
          <w:color w:val="2E75B6"/>
          <w:sz w:val="28"/>
          <w:szCs w:val="28"/>
        </w:rPr>
        <w:t xml:space="preserve">9.1 Client Retention &amp; Loyalty Upgrade</w:t>
      </w:r>
    </w:p>
    <w:p>
      <w:pPr>
        <w:pStyle w:val="ListParagraph"/>
        <w:numPr>
          <w:ilvl w:val="0"/>
          <w:numId w:val="2"/>
        </w:numPr>
        <w:spacing w:after="40" w:before="40"/>
      </w:pPr>
      <w:r>
        <w:rPr>
          <w:rFonts w:ascii="Arial" w:cs="Arial" w:eastAsia="Arial" w:hAnsi="Arial"/>
          <w:color w:val="1A1A2E"/>
          <w:sz w:val="22"/>
          <w:szCs w:val="22"/>
        </w:rPr>
        <w:t xml:space="preserve">44.32% of clients are Jade (entry tier). A targeted loyalty upgrade programme focused on Medium-income Jade clients — who already pay High or Mid fee structures — could increase retention and fee revenue without new acquisition cost.</w:t>
      </w:r>
    </w:p>
    <w:p>
      <w:pPr>
        <w:pStyle w:val="ListParagraph"/>
        <w:numPr>
          <w:ilvl w:val="0"/>
          <w:numId w:val="2"/>
        </w:numPr>
        <w:spacing w:after="40" w:before="40"/>
      </w:pPr>
      <w:r>
        <w:rPr>
          <w:rFonts w:ascii="Arial" w:cs="Arial" w:eastAsia="Arial" w:hAnsi="Arial"/>
          <w:color w:val="1A1A2E"/>
          <w:sz w:val="22"/>
          <w:szCs w:val="22"/>
        </w:rPr>
        <w:t xml:space="preserve">The 301 Platinum clients (10.45%) represent the highest-value segment. A dedicated premium service model with separate relationship manager capacity should be maintained and tracked separately from the general client base.</w:t>
      </w:r>
    </w:p>
    <w:p>
      <w:pPr>
        <w:pStyle w:val="ListParagraph"/>
        <w:numPr>
          <w:ilvl w:val="0"/>
          <w:numId w:val="2"/>
        </w:numPr>
        <w:spacing w:after="40" w:before="40"/>
      </w:pPr>
      <w:r>
        <w:rPr>
          <w:rFonts w:ascii="Arial" w:cs="Arial" w:eastAsia="Arial" w:hAnsi="Arial"/>
          <w:color w:val="1A1A2E"/>
          <w:sz w:val="22"/>
          <w:szCs w:val="22"/>
        </w:rPr>
        <w:t xml:space="preserve">Silver tier (739 clients, 25.65%) represents the clearest upgrade opportunity — these clients have progressed beyond Jade and are most likely to respond to Gold-tier incentives.</w:t>
      </w:r>
    </w:p>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8"/>
          <w:szCs w:val="28"/>
        </w:rPr>
        <w:t xml:space="preserve">9.2 Advisor Capacity Management</w:t>
      </w:r>
    </w:p>
    <w:p>
      <w:pPr>
        <w:pStyle w:val="ListParagraph"/>
        <w:numPr>
          <w:ilvl w:val="0"/>
          <w:numId w:val="2"/>
        </w:numPr>
        <w:spacing w:after="40" w:before="40"/>
      </w:pPr>
      <w:r>
        <w:rPr>
          <w:rFonts w:ascii="Arial" w:cs="Arial" w:eastAsia="Arial" w:hAnsi="Arial"/>
          <w:color w:val="1A1A2E"/>
          <w:sz w:val="22"/>
          <w:szCs w:val="22"/>
        </w:rPr>
        <w:t xml:space="preserve">The 2.15× difference in portfolio size (81 vs 174 clients) between the lightest and heaviest advisor loads should be reviewed. Rebalancing 20–25 clients from the top three advisors (Peter Castillo, Daniel Carroll, Nicholas Ward) to the bottom three (Kevin Kim, Juan Ramirez, Victor Rogers / Fred Bryant / Jack Phillips at 81–83) would reduce workload inequality.</w:t>
      </w:r>
    </w:p>
    <w:p>
      <w:pPr>
        <w:pStyle w:val="ListParagraph"/>
        <w:numPr>
          <w:ilvl w:val="0"/>
          <w:numId w:val="2"/>
        </w:numPr>
        <w:spacing w:after="40" w:before="40"/>
      </w:pPr>
      <w:r>
        <w:rPr>
          <w:rFonts w:ascii="Arial" w:cs="Arial" w:eastAsia="Arial" w:hAnsi="Arial"/>
          <w:color w:val="1A1A2E"/>
          <w:sz w:val="22"/>
          <w:szCs w:val="22"/>
        </w:rPr>
        <w:t xml:space="preserve">The standard deviation of 44.29 clients per advisor indicates moderate but meaningful inequality. SQL Query 116 (concentration risk) and Query 117 (peer benchmarking) should be scheduled as monthly automated reports to monitor this.</w:t>
      </w:r>
    </w:p>
    <w:p>
      <w:pPr>
        <w:pStyle w:val="ListParagraph"/>
        <w:numPr>
          <w:ilvl w:val="0"/>
          <w:numId w:val="2"/>
        </w:numPr>
        <w:spacing w:after="40" w:before="40"/>
      </w:pPr>
      <w:r>
        <w:rPr>
          <w:rFonts w:ascii="Arial" w:cs="Arial" w:eastAsia="Arial" w:hAnsi="Arial"/>
          <w:color w:val="1A1A2E"/>
          <w:sz w:val="22"/>
          <w:szCs w:val="22"/>
        </w:rPr>
        <w:t xml:space="preserve">The top 5 advisors collectively manage 29.99% of clients. If any single advisor exceeds 15% of total clients, a succession and client handover plan should be triggered.</w:t>
      </w:r>
    </w:p>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8"/>
          <w:szCs w:val="28"/>
        </w:rPr>
        <w:t xml:space="preserve">9.3 Product Strategy</w:t>
      </w:r>
    </w:p>
    <w:p>
      <w:pPr>
        <w:pStyle w:val="ListParagraph"/>
        <w:numPr>
          <w:ilvl w:val="0"/>
          <w:numId w:val="2"/>
        </w:numPr>
        <w:spacing w:after="40" w:before="40"/>
      </w:pPr>
      <w:r>
        <w:rPr>
          <w:rFonts w:ascii="Arial" w:cs="Arial" w:eastAsia="Arial" w:hAnsi="Arial"/>
          <w:color w:val="1A1A2E"/>
          <w:sz w:val="22"/>
          <w:szCs w:val="22"/>
        </w:rPr>
        <w:t xml:space="preserve">Commercial (16.45%) and Institutional (16.63%) banking together account for only 33.08% of relationships, compared to Private Bank alone at 44.64%. Review whether eligible mid-market clients are being migrated from Retail to Commercial or Institutional products.</w:t>
      </w:r>
    </w:p>
    <w:p>
      <w:pPr>
        <w:pStyle w:val="ListParagraph"/>
        <w:numPr>
          <w:ilvl w:val="0"/>
          <w:numId w:val="2"/>
        </w:numPr>
        <w:spacing w:after="40" w:before="40"/>
      </w:pPr>
      <w:r>
        <w:rPr>
          <w:rFonts w:ascii="Arial" w:cs="Arial" w:eastAsia="Arial" w:hAnsi="Arial"/>
          <w:color w:val="1A1A2E"/>
          <w:sz w:val="22"/>
          <w:szCs w:val="22"/>
        </w:rPr>
        <w:t xml:space="preserve">With an average debt_to_income ratio of 4.7467 and a maximum of 41.2155, mortgage refinancing packages and loan consolidation products could generate significant fee income from the existing client base.</w:t>
      </w:r>
    </w:p>
    <w:p>
      <w:pPr>
        <w:pStyle w:val="ListParagraph"/>
        <w:numPr>
          <w:ilvl w:val="0"/>
          <w:numId w:val="2"/>
        </w:numPr>
        <w:spacing w:after="40" w:before="40"/>
      </w:pPr>
      <w:r>
        <w:rPr>
          <w:rFonts w:ascii="Arial" w:cs="Arial" w:eastAsia="Arial" w:hAnsi="Arial"/>
          <w:color w:val="1A1A2E"/>
          <w:sz w:val="22"/>
          <w:szCs w:val="22"/>
        </w:rPr>
        <w:t xml:space="preserve">1,411 clients (48.98%) are on High fee structures but 44.32% remain in the Jade loyalty tier. Clients paying premium fees who have not advanced in loyalty represent a service alignment gap that should be investigated.</w:t>
      </w:r>
    </w:p>
    <w:p>
      <w:pPr>
        <w:spacing w:after="6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8"/>
          <w:szCs w:val="28"/>
        </w:rPr>
        <w:t xml:space="preserve">9.4 Analytics &amp; Data Improvements</w:t>
      </w:r>
    </w:p>
    <w:p>
      <w:pPr>
        <w:pStyle w:val="ListParagraph"/>
        <w:numPr>
          <w:ilvl w:val="0"/>
          <w:numId w:val="2"/>
        </w:numPr>
        <w:spacing w:after="40" w:before="40"/>
      </w:pPr>
      <w:r>
        <w:rPr>
          <w:rFonts w:ascii="Arial" w:cs="Arial" w:eastAsia="Arial" w:hAnsi="Arial"/>
          <w:color w:val="1A1A2E"/>
          <w:sz w:val="22"/>
          <w:szCs w:val="22"/>
        </w:rPr>
        <w:t xml:space="preserve">Add cohort analysis: the Joined_Bank date column is present in the dataset but not used in the current analysis. Segmenting clients by join year would reveal tenure-based financial behaviour and identify at-risk long-tenured clients.</w:t>
      </w:r>
    </w:p>
    <w:p>
      <w:pPr>
        <w:pStyle w:val="ListParagraph"/>
        <w:numPr>
          <w:ilvl w:val="0"/>
          <w:numId w:val="2"/>
        </w:numPr>
        <w:spacing w:after="40" w:before="40"/>
      </w:pPr>
      <w:r>
        <w:rPr>
          <w:rFonts w:ascii="Arial" w:cs="Arial" w:eastAsia="Arial" w:hAnsi="Arial"/>
          <w:color w:val="1A1A2E"/>
          <w:sz w:val="22"/>
          <w:szCs w:val="22"/>
        </w:rPr>
        <w:t xml:space="preserve">Complete the missing SQL queries 51–55 in eda_mysql.sql to close the gap in the Subqueries section.</w:t>
      </w:r>
    </w:p>
    <w:p>
      <w:pPr>
        <w:pStyle w:val="ListParagraph"/>
        <w:numPr>
          <w:ilvl w:val="0"/>
          <w:numId w:val="2"/>
        </w:numPr>
        <w:spacing w:after="40" w:before="40"/>
      </w:pPr>
      <w:r>
        <w:rPr>
          <w:rFonts w:ascii="Arial" w:cs="Arial" w:eastAsia="Arial" w:hAnsi="Arial"/>
          <w:color w:val="1A1A2E"/>
          <w:sz w:val="22"/>
          <w:szCs w:val="22"/>
        </w:rPr>
        <w:t xml:space="preserve">Remove or clearly mark the duplicate queries 82–85 in eda_mysql.sql to avoid confusion in future maintenance.</w:t>
      </w:r>
    </w:p>
    <w:p>
      <w:pPr>
        <w:pStyle w:val="ListParagraph"/>
        <w:numPr>
          <w:ilvl w:val="0"/>
          <w:numId w:val="2"/>
        </w:numPr>
        <w:spacing w:after="40" w:before="40"/>
      </w:pPr>
      <w:r>
        <w:rPr>
          <w:rFonts w:ascii="Arial" w:cs="Arial" w:eastAsia="Arial" w:hAnsi="Arial"/>
          <w:color w:val="1A1A2E"/>
          <w:sz w:val="22"/>
          <w:szCs w:val="22"/>
        </w:rPr>
        <w:t xml:space="preserve">Connect Power BI directly to the MySQL finance database (rather than the static CSV) to enable live refresh and eliminate manual export steps.</w:t>
      </w:r>
    </w:p>
    <w:p>
      <w:pPr>
        <w:pStyle w:val="ListParagraph"/>
        <w:numPr>
          <w:ilvl w:val="0"/>
          <w:numId w:val="2"/>
        </w:numPr>
        <w:spacing w:after="40" w:before="40"/>
      </w:pPr>
      <w:r>
        <w:rPr>
          <w:rFonts w:ascii="Arial" w:cs="Arial" w:eastAsia="Arial" w:hAnsi="Arial"/>
          <w:color w:val="1A1A2E"/>
          <w:sz w:val="22"/>
          <w:szCs w:val="22"/>
        </w:rPr>
        <w:t xml:space="preserve">Integrate transaction-level data in a future analytics phase to move from account balance snapshots toward behavioural segmentation and churn prediction modelling.</w:t>
      </w:r>
    </w:p>
    <w:p>
      <w:r>
        <w:br w:type="page"/>
      </w:r>
    </w:p>
    <w:p>
      <w:pPr>
        <w:pStyle w:val="Heading1"/>
        <w:pBdr>
          <w:bottom w:val="single" w:color="2E75B6" w:sz="8" w:space="6"/>
        </w:pBdr>
        <w:spacing w:after="160" w:before="400"/>
      </w:pPr>
      <w:r>
        <w:rPr>
          <w:rFonts w:ascii="Arial" w:cs="Arial" w:eastAsia="Arial" w:hAnsi="Arial"/>
          <w:b/>
          <w:bCs/>
          <w:color w:val="1B3A6B"/>
          <w:sz w:val="36"/>
          <w:szCs w:val="36"/>
        </w:rPr>
        <w:t xml:space="preserve">10. Project File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700"/>
        <w:gridCol w:w="3460"/>
      </w:tblGrid>
      <w:tr>
        <w:tc>
          <w:tcPr>
            <w:tcW w:type="dxa" w:w="280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File</w:t>
            </w:r>
          </w:p>
        </w:tc>
        <w:tc>
          <w:tcPr>
            <w:tcW w:type="dxa" w:w="140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170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Scope</w:t>
            </w:r>
          </w:p>
        </w:tc>
        <w:tc>
          <w:tcPr>
            <w:tcW w:type="dxa" w:w="3460"/>
            <w:tcBorders>
              <w:top w:val="single" w:color="2E75B6" w:sz="1"/>
              <w:left w:val="single" w:color="2E75B6" w:sz="1"/>
              <w:bottom w:val="single" w:color="2E75B6" w:sz="1"/>
              <w:right w:val="single" w:color="2E75B6"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clients.csv</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CSV</w:t>
            </w:r>
          </w:p>
        </w:tc>
        <w:tc>
          <w:tcPr>
            <w:tcW w:type="dxa" w:w="17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2,881 rows × 28 cols</w:t>
            </w:r>
          </w:p>
        </w:tc>
        <w:tc>
          <w:tcPr>
            <w:tcW w:type="dxa" w:w="34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Primary dataset — client demographics and financial account balances</w:t>
            </w:r>
          </w:p>
        </w:tc>
      </w:tr>
      <w:tr>
        <w:tc>
          <w:tcPr>
            <w:tcW w:type="dxa" w:w="28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gender.csv</w:t>
            </w:r>
          </w:p>
        </w:tc>
        <w:tc>
          <w:tcPr>
            <w:tcW w:type="dxa" w:w="14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CSV</w:t>
            </w:r>
          </w:p>
        </w:tc>
        <w:tc>
          <w:tcPr>
            <w:tcW w:type="dxa" w:w="17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2 rows × 2 cols</w:t>
            </w:r>
          </w:p>
        </w:tc>
        <w:tc>
          <w:tcPr>
            <w:tcW w:type="dxa" w:w="34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Lookup table — gender reference: 1 = Male, 2 = Female</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investment_advisiors.csv</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CSV</w:t>
            </w:r>
          </w:p>
        </w:tc>
        <w:tc>
          <w:tcPr>
            <w:tcW w:type="dxa" w:w="17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22 rows × 2 cols</w:t>
            </w:r>
          </w:p>
        </w:tc>
        <w:tc>
          <w:tcPr>
            <w:tcW w:type="dxa" w:w="34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Lookup table — 22 named investment advisors (IAId 1–22)</w:t>
            </w:r>
          </w:p>
        </w:tc>
      </w:tr>
      <w:tr>
        <w:tc>
          <w:tcPr>
            <w:tcW w:type="dxa" w:w="28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banking_realtionships.csv</w:t>
            </w:r>
          </w:p>
        </w:tc>
        <w:tc>
          <w:tcPr>
            <w:tcW w:type="dxa" w:w="14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CSV</w:t>
            </w:r>
          </w:p>
        </w:tc>
        <w:tc>
          <w:tcPr>
            <w:tcW w:type="dxa" w:w="17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4 rows × 2 cols</w:t>
            </w:r>
          </w:p>
        </w:tc>
        <w:tc>
          <w:tcPr>
            <w:tcW w:type="dxa" w:w="34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Lookup table — 4 banking relationship types (BRId 1–4)</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eda_python.ipynb</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Jupyter Notebook</w:t>
            </w:r>
          </w:p>
        </w:tc>
        <w:tc>
          <w:tcPr>
            <w:tcW w:type="dxa" w:w="17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~40 code cells</w:t>
            </w:r>
          </w:p>
        </w:tc>
        <w:tc>
          <w:tcPr>
            <w:tcW w:type="dxa" w:w="34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Full Python EDA pipeline: data loading, cleaning, feature engineering, visualisation, and CSV export</w:t>
            </w:r>
          </w:p>
        </w:tc>
      </w:tr>
      <w:tr>
        <w:tc>
          <w:tcPr>
            <w:tcW w:type="dxa" w:w="28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eda_mysql.sql</w:t>
            </w:r>
          </w:p>
        </w:tc>
        <w:tc>
          <w:tcPr>
            <w:tcW w:type="dxa" w:w="14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SQL Script</w:t>
            </w:r>
          </w:p>
        </w:tc>
        <w:tc>
          <w:tcPr>
            <w:tcW w:type="dxa" w:w="17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115 unique queries</w:t>
            </w:r>
          </w:p>
        </w:tc>
        <w:tc>
          <w:tcPr>
            <w:tcW w:type="dxa" w:w="34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MySQL analysis across 15 sections; queries 51–55 absent; queries 82–85 duplicated</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banking_dashboard.pbix</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Power BI</w:t>
            </w:r>
          </w:p>
        </w:tc>
        <w:tc>
          <w:tcPr>
            <w:tcW w:type="dxa" w:w="17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Interactive dashboard</w:t>
            </w:r>
          </w:p>
        </w:tc>
        <w:tc>
          <w:tcPr>
            <w:tcW w:type="dxa" w:w="34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Executive dashboard with slicers, KPI cards, demographic charts, and advisor performance table</w:t>
            </w:r>
          </w:p>
        </w:tc>
      </w:tr>
      <w:tr>
        <w:tc>
          <w:tcPr>
            <w:tcW w:type="dxa" w:w="28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cleaned_banking_data.csv</w:t>
            </w:r>
          </w:p>
        </w:tc>
        <w:tc>
          <w:tcPr>
            <w:tcW w:type="dxa" w:w="14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CSV</w:t>
            </w:r>
          </w:p>
        </w:tc>
        <w:tc>
          <w:tcPr>
            <w:tcW w:type="dxa" w:w="170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2,881 rows × 28 cols</w:t>
            </w:r>
          </w:p>
        </w:tc>
        <w:tc>
          <w:tcPr>
            <w:tcW w:type="dxa" w:w="3460"/>
            <w:tcBorders>
              <w:top w:val="single" w:color="BDC3C7" w:sz="1"/>
              <w:left w:val="single" w:color="BDC3C7" w:sz="1"/>
              <w:bottom w:val="single" w:color="BDC3C7" w:sz="1"/>
              <w:right w:val="single" w:color="BDC3C7" w:sz="1"/>
            </w:tcBorders>
            <w:shd w:fill="F2F4F6" w:val="clear"/>
            <w:tcMar>
              <w:top w:type="dxa" w:w="100"/>
              <w:left w:type="dxa" w:w="140"/>
              <w:bottom w:type="dxa" w:w="100"/>
              <w:right w:type="dxa" w:w="140"/>
            </w:tcMar>
          </w:tcPr>
          <w:p>
            <w:r>
              <w:rPr>
                <w:rFonts w:ascii="Arial" w:cs="Arial" w:eastAsia="Arial" w:hAnsi="Arial"/>
                <w:color w:val="1A1A2E"/>
                <w:sz w:val="19"/>
                <w:szCs w:val="19"/>
              </w:rPr>
              <w:t xml:space="preserve">Cleaned and feature-engineered output from Python EDA; used as Power BI data source</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Banking_Client_Analytics_Report.docx</w:t>
            </w:r>
          </w:p>
        </w:tc>
        <w:tc>
          <w:tcPr>
            <w:tcW w:type="dxa" w:w="1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Word Document</w:t>
            </w:r>
          </w:p>
        </w:tc>
        <w:tc>
          <w:tcPr>
            <w:tcW w:type="dxa" w:w="17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This report</w:t>
            </w:r>
          </w:p>
        </w:tc>
        <w:tc>
          <w:tcPr>
            <w:tcW w:type="dxa" w:w="34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Full project documentation covering methodology, findings, data quality, and recommendations</w:t>
            </w:r>
          </w:p>
        </w:tc>
      </w:tr>
    </w:tbl>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Bdr>
          <w:bottom w:val="single" w:color="D6E4F0" w:sz="2" w:space="4"/>
        </w:pBdr>
        <w:spacing w:after="100" w:before="100"/>
      </w:pPr>
      <w:r>
        <w:t xml:space="preserve"/>
      </w:r>
    </w:p>
    <w:p>
      <w:pPr>
        <w:spacing w:after="0" w:before="80"/>
        <w:jc w:val="center"/>
      </w:pPr>
      <w:r>
        <w:rPr>
          <w:rFonts w:ascii="Arial" w:cs="Arial" w:eastAsia="Arial" w:hAnsi="Arial"/>
          <w:i/>
          <w:iCs/>
          <w:color w:val="7F8C8D"/>
          <w:sz w:val="17"/>
          <w:szCs w:val="17"/>
        </w:rPr>
        <w:t xml:space="preserve">Banking Client Analytics Report  |  April 2026  |  Confidential  |  All figures derived from clients.csv (2,881 records)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4"/>
      </w:pBdr>
      <w:spacing w:after="0" w:before="120"/>
      <w:jc w:val="center"/>
    </w:pPr>
    <w:r>
      <w:rPr>
        <w:rFonts w:ascii="Arial" w:cs="Arial" w:eastAsia="Arial" w:hAnsi="Arial"/>
        <w:color w:val="7F8C8D"/>
        <w:sz w:val="18"/>
        <w:szCs w:val="18"/>
      </w:rPr>
      <w:t xml:space="preserve">Confidential  |  Page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color w:val="7F8C8D"/>
        <w:sz w:val="18"/>
        <w:szCs w:val="18"/>
      </w:rPr>
      <w:t xml:space="preserve"> of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before="0"/>
      <w:jc w:val="right"/>
    </w:pPr>
    <w:r>
      <w:rPr>
        <w:rFonts w:ascii="Arial" w:cs="Arial" w:eastAsia="Arial" w:hAnsi="Arial"/>
        <w:color w:val="2E75B6"/>
        <w:sz w:val="18"/>
        <w:szCs w:val="18"/>
      </w:rPr>
      <w:t xml:space="preserve">Banking Client Analytics Report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2026-05-01T10:22:05.291Z</dcterms:created>
  <dcterms:modified xsi:type="dcterms:W3CDTF">2026-05-01T10:22:05.310Z</dcterms:modified>
</cp:coreProperties>
</file>

<file path=docProps/custom.xml><?xml version="1.0" encoding="utf-8"?>
<Properties xmlns="http://schemas.openxmlformats.org/officeDocument/2006/custom-properties" xmlns:vt="http://schemas.openxmlformats.org/officeDocument/2006/docPropsVTypes"/>
</file>