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3. Import data from CSV file ’IPL_matches.csv’ attached in resources to ‘matches’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7365"/>
            <wp:effectExtent b="0" l="0" r="0" t="0"/>
            <wp:docPr descr="A screenshot of a computer&#10;&#10;Description automatically generated" id="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1490"/>
            <wp:effectExtent b="0" l="0" r="0" t="0"/>
            <wp:docPr descr="A screenshot of a computer&#10;&#10;Description automatically generated with medium confidence" id="3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  <w:rtl w:val="0"/>
        </w:rPr>
        <w:t xml:space="preserve">4. Import data from CSV file ’IPL_Ball.csv’ attached in resources to ‘deliveries’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descr="A screenshot of a computer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359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6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5a5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0380"/>
            <wp:effectExtent b="0" l="0" r="0" t="0"/>
            <wp:docPr descr="A screenshot of a computer&#10;&#10;Description automatically generated with medium confidence" id="1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