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Project Proposal</w:t>
      </w:r>
    </w:p>
    <w:p>
      <w:pPr>
        <w:spacing w:after="60"/>
        <w:jc w:val="center"/>
      </w:pPr>
      <w:r>
        <w:rPr>
          <w:b/>
          <w:bCs/>
          <w:sz w:val="30"/>
          <w:szCs w:val="30"/>
        </w:rPr>
        <w:t xml:space="preserve">Distributed Trading / Order Matching Engine</w:t>
      </w:r>
    </w:p>
    <w:p>
      <w:pPr>
        <w:spacing w:after="300"/>
        <w:jc w:val="center"/>
      </w:pPr>
      <w:r>
        <w:rPr>
          <w:i/>
          <w:iCs/>
          <w:color w:val="555555"/>
          <w:sz w:val="22"/>
          <w:szCs w:val="22"/>
        </w:rPr>
        <w:t xml:space="preserve">Distributed Computing — Semester Project</w:t>
      </w:r>
    </w:p>
    <w:p>
      <w:pPr>
        <w:pStyle w:val="Heading1"/>
        <w:spacing w:after="140" w:before="280"/>
      </w:pPr>
      <w:r>
        <w:rPr>
          <w:b/>
          <w:bCs/>
          <w:color w:val="1F4E79"/>
          <w:sz w:val="28"/>
          <w:szCs w:val="28"/>
        </w:rPr>
        <w:t xml:space="preserve">1. Problem Statement</w:t>
      </w:r>
    </w:p>
    <w:p>
      <w:pPr>
        <w:spacing w:after="140" w:line="300"/>
      </w:pPr>
      <w:r>
        <w:rPr>
          <w:sz w:val="22"/>
          <w:szCs w:val="22"/>
        </w:rPr>
        <w:t xml:space="preserve">Modern financial exchanges must process a very high volume of buy and sell orders with low latency, while guaranteeing that every trader sees a consistent, correctly ordered view of the market. In a real exchange this is inherently a distributed computing problem: orders arrive from many geographically spread clients, must be timestamped and sequenced fairly, matched correctly, and the system must keep working even if individual servers crash — all without corrupting anyone's trade history or balances.</w:t>
      </w:r>
    </w:p>
    <w:p>
      <w:pPr>
        <w:spacing w:after="140" w:line="300"/>
      </w:pPr>
      <w:r>
        <w:rPr>
          <w:sz w:val="22"/>
          <w:szCs w:val="22"/>
        </w:rPr>
        <w:t xml:space="preserve">This project builds a simplified Distributed Trading / Order Matching Engine that reproduces these challenges at a scale suitable for a semester lab course. The system will allow multiple trader clients to submit orders concurrently to a matching engine, keep the order book consistent and available even under node failure, and analyze historical trade data at scale. The goal is not to build a production exchange, but to use a realistic, motivating scenario to implement and demonstrate the core building blocks of distributed systems: remote communication, concurrency, clock synchronization, leader election, replication, load balancing, fault tolerance, and parallel processing.</w:t>
      </w:r>
    </w:p>
    <w:p>
      <w:pPr>
        <w:pStyle w:val="Heading1"/>
        <w:spacing w:after="140" w:before="280"/>
      </w:pPr>
      <w:r>
        <w:rPr>
          <w:b/>
          <w:bCs/>
          <w:color w:val="1F4E79"/>
          <w:sz w:val="28"/>
          <w:szCs w:val="28"/>
        </w:rPr>
        <w:t xml:space="preserve">2. Architecture</w:t>
      </w:r>
    </w:p>
    <w:p>
      <w:pPr>
        <w:spacing w:after="140" w:line="300"/>
      </w:pPr>
      <w:r>
        <w:rPr>
          <w:sz w:val="22"/>
          <w:szCs w:val="22"/>
        </w:rPr>
        <w:t xml:space="preserve">The system follows a client-server architecture with multiple matching engine nodes sharded by stock symbol, fronted by a load balancer, and backed by a replication and election layer for fault tolerance. Trader clients never talk to a matching engine node directly for the first version of the system — they go through the load balancer, which routes each order to the node currently responsible for that stock.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4E79" w:val="clear"/>
            <w:tcMar>
              <w:top w:type="dxa" w:w="80"/>
              <w:left w:type="dxa" w:w="100"/>
              <w:bottom w:type="dxa" w:w="80"/>
              <w:right w:type="dxa" w:w="100"/>
            </w:tcMar>
          </w:tcPr>
          <w:p>
            <w:r>
              <w:rPr>
                <w:b/>
                <w:bCs/>
                <w:color w:val="FFFFFF"/>
                <w:sz w:val="21"/>
                <w:szCs w:val="21"/>
              </w:rPr>
              <w:t xml:space="preserve">Component</w:t>
            </w:r>
          </w:p>
        </w:tc>
        <w:tc>
          <w:tcPr>
            <w:tcW w:type="dxa" w:w="6300"/>
            <w:shd w:fill="1F4E79" w:val="clear"/>
            <w:tcMar>
              <w:top w:type="dxa" w:w="80"/>
              <w:left w:type="dxa" w:w="100"/>
              <w:bottom w:type="dxa" w:w="80"/>
              <w:right w:type="dxa" w:w="100"/>
            </w:tcMar>
          </w:tcPr>
          <w:p>
            <w:r>
              <w:rPr>
                <w:b/>
                <w:bCs/>
                <w:color w:val="FFFFFF"/>
                <w:sz w:val="21"/>
                <w:szCs w:val="21"/>
              </w:rPr>
              <w:t xml:space="preserve">Responsibility</w:t>
            </w:r>
          </w:p>
        </w:tc>
      </w:tr>
      <w:tr>
        <w:tc>
          <w:tcPr>
            <w:tcW w:type="dxa" w:w="3200"/>
            <w:tcMar>
              <w:top w:type="dxa" w:w="80"/>
              <w:left w:type="dxa" w:w="100"/>
              <w:bottom w:type="dxa" w:w="80"/>
              <w:right w:type="dxa" w:w="100"/>
            </w:tcMar>
          </w:tcPr>
          <w:p>
            <w:r>
              <w:rPr>
                <w:b w:val="false"/>
                <w:bCs w:val="false"/>
                <w:color w:val="000000"/>
                <w:sz w:val="21"/>
                <w:szCs w:val="21"/>
              </w:rPr>
              <w:t xml:space="preserve">Trader Client</w:t>
            </w:r>
          </w:p>
        </w:tc>
        <w:tc>
          <w:tcPr>
            <w:tcW w:type="dxa" w:w="6300"/>
            <w:tcMar>
              <w:top w:type="dxa" w:w="80"/>
              <w:left w:type="dxa" w:w="100"/>
              <w:bottom w:type="dxa" w:w="80"/>
              <w:right w:type="dxa" w:w="100"/>
            </w:tcMar>
          </w:tcPr>
          <w:p>
            <w:r>
              <w:rPr>
                <w:b w:val="false"/>
                <w:bCs w:val="false"/>
                <w:color w:val="000000"/>
                <w:sz w:val="21"/>
                <w:szCs w:val="21"/>
              </w:rPr>
              <w:t xml:space="preserve">Simulates a trader; submits BUY/SELL orders to the matching engine over RPC.</w:t>
            </w:r>
          </w:p>
        </w:tc>
      </w:tr>
      <w:tr>
        <w:tc>
          <w:tcPr>
            <w:tcW w:type="dxa" w:w="3200"/>
            <w:tcMar>
              <w:top w:type="dxa" w:w="80"/>
              <w:left w:type="dxa" w:w="100"/>
              <w:bottom w:type="dxa" w:w="80"/>
              <w:right w:type="dxa" w:w="100"/>
            </w:tcMar>
          </w:tcPr>
          <w:p>
            <w:r>
              <w:rPr>
                <w:b w:val="false"/>
                <w:bCs w:val="false"/>
                <w:color w:val="000000"/>
                <w:sz w:val="21"/>
                <w:szCs w:val="21"/>
              </w:rPr>
              <w:t xml:space="preserve">Matching Engine Server</w:t>
            </w:r>
          </w:p>
        </w:tc>
        <w:tc>
          <w:tcPr>
            <w:tcW w:type="dxa" w:w="6300"/>
            <w:tcMar>
              <w:top w:type="dxa" w:w="80"/>
              <w:left w:type="dxa" w:w="100"/>
              <w:bottom w:type="dxa" w:w="80"/>
              <w:right w:type="dxa" w:w="100"/>
            </w:tcMar>
          </w:tcPr>
          <w:p>
            <w:r>
              <w:rPr>
                <w:b w:val="false"/>
                <w:bCs w:val="false"/>
                <w:color w:val="000000"/>
                <w:sz w:val="21"/>
                <w:szCs w:val="21"/>
              </w:rPr>
              <w:t xml:space="preserve">Receives orders, assigns order IDs, matches compatible buy/sell orders, updates the order book.</w:t>
            </w:r>
          </w:p>
        </w:tc>
      </w:tr>
      <w:tr>
        <w:tc>
          <w:tcPr>
            <w:tcW w:type="dxa" w:w="3200"/>
            <w:tcMar>
              <w:top w:type="dxa" w:w="80"/>
              <w:left w:type="dxa" w:w="100"/>
              <w:bottom w:type="dxa" w:w="80"/>
              <w:right w:type="dxa" w:w="100"/>
            </w:tcMar>
          </w:tcPr>
          <w:p>
            <w:r>
              <w:rPr>
                <w:b w:val="false"/>
                <w:bCs w:val="false"/>
                <w:color w:val="000000"/>
                <w:sz w:val="21"/>
                <w:szCs w:val="21"/>
              </w:rPr>
              <w:t xml:space="preserve">Order Book (per stock)</w:t>
            </w:r>
          </w:p>
        </w:tc>
        <w:tc>
          <w:tcPr>
            <w:tcW w:type="dxa" w:w="6300"/>
            <w:tcMar>
              <w:top w:type="dxa" w:w="80"/>
              <w:left w:type="dxa" w:w="100"/>
              <w:bottom w:type="dxa" w:w="80"/>
              <w:right w:type="dxa" w:w="100"/>
            </w:tcMar>
          </w:tcPr>
          <w:p>
            <w:r>
              <w:rPr>
                <w:b w:val="false"/>
                <w:bCs w:val="false"/>
                <w:color w:val="000000"/>
                <w:sz w:val="21"/>
                <w:szCs w:val="21"/>
              </w:rPr>
              <w:t xml:space="preserve">In-memory store of unmatched orders for a given stock symbol; replicated across primary/backup nodes.</w:t>
            </w:r>
          </w:p>
        </w:tc>
      </w:tr>
      <w:tr>
        <w:tc>
          <w:tcPr>
            <w:tcW w:type="dxa" w:w="3200"/>
            <w:tcMar>
              <w:top w:type="dxa" w:w="80"/>
              <w:left w:type="dxa" w:w="100"/>
              <w:bottom w:type="dxa" w:w="80"/>
              <w:right w:type="dxa" w:w="100"/>
            </w:tcMar>
          </w:tcPr>
          <w:p>
            <w:r>
              <w:rPr>
                <w:b w:val="false"/>
                <w:bCs w:val="false"/>
                <w:color w:val="000000"/>
                <w:sz w:val="21"/>
                <w:szCs w:val="21"/>
              </w:rPr>
              <w:t xml:space="preserve">Load Balancer</w:t>
            </w:r>
          </w:p>
        </w:tc>
        <w:tc>
          <w:tcPr>
            <w:tcW w:type="dxa" w:w="6300"/>
            <w:tcMar>
              <w:top w:type="dxa" w:w="80"/>
              <w:left w:type="dxa" w:w="100"/>
              <w:bottom w:type="dxa" w:w="80"/>
              <w:right w:type="dxa" w:w="100"/>
            </w:tcMar>
          </w:tcPr>
          <w:p>
            <w:r>
              <w:rPr>
                <w:b w:val="false"/>
                <w:bCs w:val="false"/>
                <w:color w:val="000000"/>
                <w:sz w:val="21"/>
                <w:szCs w:val="21"/>
              </w:rPr>
              <w:t xml:space="preserve">Routes incoming orders to the correct matching engine node (sharded by stock symbol).</w:t>
            </w:r>
          </w:p>
        </w:tc>
      </w:tr>
      <w:tr>
        <w:tc>
          <w:tcPr>
            <w:tcW w:type="dxa" w:w="3200"/>
            <w:tcMar>
              <w:top w:type="dxa" w:w="80"/>
              <w:left w:type="dxa" w:w="100"/>
              <w:bottom w:type="dxa" w:w="80"/>
              <w:right w:type="dxa" w:w="100"/>
            </w:tcMar>
          </w:tcPr>
          <w:p>
            <w:r>
              <w:rPr>
                <w:b w:val="false"/>
                <w:bCs w:val="false"/>
                <w:color w:val="000000"/>
                <w:sz w:val="21"/>
                <w:szCs w:val="21"/>
              </w:rPr>
              <w:t xml:space="preserve">Coordinator / Election Module</w:t>
            </w:r>
          </w:p>
        </w:tc>
        <w:tc>
          <w:tcPr>
            <w:tcW w:type="dxa" w:w="6300"/>
            <w:tcMar>
              <w:top w:type="dxa" w:w="80"/>
              <w:left w:type="dxa" w:w="100"/>
              <w:bottom w:type="dxa" w:w="80"/>
              <w:right w:type="dxa" w:w="100"/>
            </w:tcMar>
          </w:tcPr>
          <w:p>
            <w:r>
              <w:rPr>
                <w:b w:val="false"/>
                <w:bCs w:val="false"/>
                <w:color w:val="000000"/>
                <w:sz w:val="21"/>
                <w:szCs w:val="21"/>
              </w:rPr>
              <w:t xml:space="preserve">Runs Bully/Ring election to pick a primary node per shard if the current primary fails.</w:t>
            </w:r>
          </w:p>
        </w:tc>
      </w:tr>
      <w:tr>
        <w:tc>
          <w:tcPr>
            <w:tcW w:type="dxa" w:w="3200"/>
            <w:tcMar>
              <w:top w:type="dxa" w:w="80"/>
              <w:left w:type="dxa" w:w="100"/>
              <w:bottom w:type="dxa" w:w="80"/>
              <w:right w:type="dxa" w:w="100"/>
            </w:tcMar>
          </w:tcPr>
          <w:p>
            <w:r>
              <w:rPr>
                <w:b w:val="false"/>
                <w:bCs w:val="false"/>
                <w:color w:val="000000"/>
                <w:sz w:val="21"/>
                <w:szCs w:val="21"/>
              </w:rPr>
              <w:t xml:space="preserve">Replication Manager</w:t>
            </w:r>
          </w:p>
        </w:tc>
        <w:tc>
          <w:tcPr>
            <w:tcW w:type="dxa" w:w="6300"/>
            <w:tcMar>
              <w:top w:type="dxa" w:w="80"/>
              <w:left w:type="dxa" w:w="100"/>
              <w:bottom w:type="dxa" w:w="80"/>
              <w:right w:type="dxa" w:w="100"/>
            </w:tcMar>
          </w:tcPr>
          <w:p>
            <w:r>
              <w:rPr>
                <w:b w:val="false"/>
                <w:bCs w:val="false"/>
                <w:color w:val="000000"/>
                <w:sz w:val="21"/>
                <w:szCs w:val="21"/>
              </w:rPr>
              <w:t xml:space="preserve">Propagates order book updates from primary to backup node(s) for fault tolerance.</w:t>
            </w:r>
          </w:p>
        </w:tc>
      </w:tr>
      <w:tr>
        <w:tc>
          <w:tcPr>
            <w:tcW w:type="dxa" w:w="3200"/>
            <w:tcMar>
              <w:top w:type="dxa" w:w="80"/>
              <w:left w:type="dxa" w:w="100"/>
              <w:bottom w:type="dxa" w:w="80"/>
              <w:right w:type="dxa" w:w="100"/>
            </w:tcMar>
          </w:tcPr>
          <w:p>
            <w:r>
              <w:rPr>
                <w:b w:val="false"/>
                <w:bCs w:val="false"/>
                <w:color w:val="000000"/>
                <w:sz w:val="21"/>
                <w:szCs w:val="21"/>
              </w:rPr>
              <w:t xml:space="preserve">Batch Analytics (MapReduce)</w:t>
            </w:r>
          </w:p>
        </w:tc>
        <w:tc>
          <w:tcPr>
            <w:tcW w:type="dxa" w:w="6300"/>
            <w:tcMar>
              <w:top w:type="dxa" w:w="80"/>
              <w:left w:type="dxa" w:w="100"/>
              <w:bottom w:type="dxa" w:w="80"/>
              <w:right w:type="dxa" w:w="100"/>
            </w:tcMar>
          </w:tcPr>
          <w:p>
            <w:r>
              <w:rPr>
                <w:b w:val="false"/>
                <w:bCs w:val="false"/>
                <w:color w:val="000000"/>
                <w:sz w:val="21"/>
                <w:szCs w:val="21"/>
              </w:rPr>
              <w:t xml:space="preserve">Offline job over historical trade logs — volume per stock, most active trader, daily high/low.</w:t>
            </w:r>
          </w:p>
        </w:tc>
      </w:tr>
    </w:tbl>
    <w:p>
      <w:pPr>
        <w:spacing w:after="140" w:line="300"/>
      </w:pPr>
      <w:r>
        <w:rPr>
          <w:sz w:val="22"/>
          <w:szCs w:val="22"/>
        </w:rPr>
        <w:t xml:space="preserve"/>
      </w:r>
    </w:p>
    <w:p>
      <w:pPr>
        <w:spacing w:after="140" w:line="300"/>
      </w:pPr>
      <w:r>
        <w:rPr>
          <w:sz w:val="22"/>
          <w:szCs w:val="22"/>
        </w:rPr>
        <w:t xml:space="preserve">At a high level, an order flows as follows: a Trader Client submits an order over RPC → the Load Balancer forwards it to the primary matching engine node for that stock → the node timestamps the order using its logical clock, stores it in the in-memory order book, and attempts to match it against existing opposite-side orders → the update is replicated to the backup node for that shard → a confirmation is returned to the client. If a primary node fails, the election module promotes the backup to primary with minimal disruption. Completed trade logs are periodically processed offline using MapReduce for analytics.</w:t>
      </w:r>
    </w:p>
    <w:p>
      <w:pPr>
        <w:pStyle w:val="Heading1"/>
        <w:spacing w:after="140" w:before="280"/>
      </w:pPr>
      <w:r>
        <w:rPr>
          <w:b/>
          <w:bCs/>
          <w:color w:val="1F4E79"/>
          <w:sz w:val="28"/>
          <w:szCs w:val="28"/>
        </w:rPr>
        <w:t xml:space="preserve">3. Features</w:t>
      </w:r>
    </w:p>
    <w:p>
      <w:pPr>
        <w:spacing w:after="140" w:line="300"/>
      </w:pPr>
      <w:r>
        <w:rPr>
          <w:sz w:val="22"/>
          <w:szCs w:val="22"/>
        </w:rPr>
        <w:t xml:space="preserve">Each lab experiment in the course syllabus is implemented as an incremental feature of this single project, so the system grows in capability across the semester rather than being ten disconnected exercises: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tcW w:type="dxa" w:w="1400"/>
            <w:shd w:fill="1F4E79" w:val="clear"/>
            <w:tcMar>
              <w:top w:type="dxa" w:w="80"/>
              <w:left w:type="dxa" w:w="100"/>
              <w:bottom w:type="dxa" w:w="80"/>
              <w:right w:type="dxa" w:w="100"/>
            </w:tcMar>
          </w:tcPr>
          <w:p>
            <w:r>
              <w:rPr>
                <w:b/>
                <w:bCs/>
                <w:color w:val="FFFFFF"/>
                <w:sz w:val="21"/>
                <w:szCs w:val="21"/>
              </w:rPr>
              <w:t xml:space="preserve">Lab</w:t>
            </w:r>
          </w:p>
        </w:tc>
        <w:tc>
          <w:tcPr>
            <w:tcW w:type="dxa" w:w="8100"/>
            <w:shd w:fill="1F4E79" w:val="clear"/>
            <w:tcMar>
              <w:top w:type="dxa" w:w="80"/>
              <w:left w:type="dxa" w:w="100"/>
              <w:bottom w:type="dxa" w:w="80"/>
              <w:right w:type="dxa" w:w="100"/>
            </w:tcMar>
          </w:tcPr>
          <w:p>
            <w:r>
              <w:rPr>
                <w:b/>
                <w:bCs/>
                <w:color w:val="FFFFFF"/>
                <w:sz w:val="21"/>
                <w:szCs w:val="21"/>
              </w:rPr>
              <w:t xml:space="preserve">Feature implemented</w:t>
            </w:r>
          </w:p>
        </w:tc>
      </w:tr>
      <w:tr>
        <w:tc>
          <w:tcPr>
            <w:tcW w:type="dxa" w:w="1400"/>
            <w:tcMar>
              <w:top w:type="dxa" w:w="80"/>
              <w:left w:type="dxa" w:w="100"/>
              <w:bottom w:type="dxa" w:w="80"/>
              <w:right w:type="dxa" w:w="100"/>
            </w:tcMar>
          </w:tcPr>
          <w:p>
            <w:r>
              <w:rPr>
                <w:b w:val="false"/>
                <w:bCs w:val="false"/>
                <w:color w:val="000000"/>
                <w:sz w:val="21"/>
                <w:szCs w:val="21"/>
              </w:rPr>
              <w:t xml:space="preserve">1</w:t>
            </w:r>
          </w:p>
        </w:tc>
        <w:tc>
          <w:tcPr>
            <w:tcW w:type="dxa" w:w="8100"/>
            <w:tcMar>
              <w:top w:type="dxa" w:w="80"/>
              <w:left w:type="dxa" w:w="100"/>
              <w:bottom w:type="dxa" w:w="80"/>
              <w:right w:type="dxa" w:w="100"/>
            </w:tcMar>
          </w:tcPr>
          <w:p>
            <w:r>
              <w:rPr>
                <w:b w:val="false"/>
                <w:bCs w:val="false"/>
                <w:color w:val="000000"/>
                <w:sz w:val="21"/>
                <w:szCs w:val="21"/>
              </w:rPr>
              <w:t xml:space="preserve">Client-server order submission using RPC (Java RMI initially; ported to Python).</w:t>
            </w:r>
          </w:p>
        </w:tc>
      </w:tr>
      <w:tr>
        <w:tc>
          <w:tcPr>
            <w:tcW w:type="dxa" w:w="1400"/>
            <w:tcMar>
              <w:top w:type="dxa" w:w="80"/>
              <w:left w:type="dxa" w:w="100"/>
              <w:bottom w:type="dxa" w:w="80"/>
              <w:right w:type="dxa" w:w="100"/>
            </w:tcMar>
          </w:tcPr>
          <w:p>
            <w:r>
              <w:rPr>
                <w:b w:val="false"/>
                <w:bCs w:val="false"/>
                <w:color w:val="000000"/>
                <w:sz w:val="21"/>
                <w:szCs w:val="21"/>
              </w:rPr>
              <w:t xml:space="preserve">2</w:t>
            </w:r>
          </w:p>
        </w:tc>
        <w:tc>
          <w:tcPr>
            <w:tcW w:type="dxa" w:w="8100"/>
            <w:tcMar>
              <w:top w:type="dxa" w:w="80"/>
              <w:left w:type="dxa" w:w="100"/>
              <w:bottom w:type="dxa" w:w="80"/>
              <w:right w:type="dxa" w:w="100"/>
            </w:tcMar>
          </w:tcPr>
          <w:p>
            <w:r>
              <w:rPr>
                <w:b w:val="false"/>
                <w:bCs w:val="false"/>
                <w:color w:val="000000"/>
                <w:sz w:val="21"/>
                <w:szCs w:val="21"/>
              </w:rPr>
              <w:t xml:space="preserve">Concurrent order handling on the server using multithreading.</w:t>
            </w:r>
          </w:p>
        </w:tc>
      </w:tr>
      <w:tr>
        <w:tc>
          <w:tcPr>
            <w:tcW w:type="dxa" w:w="1400"/>
            <w:tcMar>
              <w:top w:type="dxa" w:w="80"/>
              <w:left w:type="dxa" w:w="100"/>
              <w:bottom w:type="dxa" w:w="80"/>
              <w:right w:type="dxa" w:w="100"/>
            </w:tcMar>
          </w:tcPr>
          <w:p>
            <w:r>
              <w:rPr>
                <w:b w:val="false"/>
                <w:bCs w:val="false"/>
                <w:color w:val="000000"/>
                <w:sz w:val="21"/>
                <w:szCs w:val="21"/>
              </w:rPr>
              <w:t xml:space="preserve">3</w:t>
            </w:r>
          </w:p>
        </w:tc>
        <w:tc>
          <w:tcPr>
            <w:tcW w:type="dxa" w:w="8100"/>
            <w:tcMar>
              <w:top w:type="dxa" w:w="80"/>
              <w:left w:type="dxa" w:w="100"/>
              <w:bottom w:type="dxa" w:w="80"/>
              <w:right w:type="dxa" w:w="100"/>
            </w:tcMar>
          </w:tcPr>
          <w:p>
            <w:r>
              <w:rPr>
                <w:b w:val="false"/>
                <w:bCs w:val="false"/>
                <w:color w:val="000000"/>
                <w:sz w:val="21"/>
                <w:szCs w:val="21"/>
              </w:rPr>
              <w:t xml:space="preserve">Logical/physical clock synchronization to correctly timestamp and order incoming trades.</w:t>
            </w:r>
          </w:p>
        </w:tc>
      </w:tr>
      <w:tr>
        <w:tc>
          <w:tcPr>
            <w:tcW w:type="dxa" w:w="1400"/>
            <w:tcMar>
              <w:top w:type="dxa" w:w="80"/>
              <w:left w:type="dxa" w:w="100"/>
              <w:bottom w:type="dxa" w:w="80"/>
              <w:right w:type="dxa" w:w="100"/>
            </w:tcMar>
          </w:tcPr>
          <w:p>
            <w:r>
              <w:rPr>
                <w:b w:val="false"/>
                <w:bCs w:val="false"/>
                <w:color w:val="000000"/>
                <w:sz w:val="21"/>
                <w:szCs w:val="21"/>
              </w:rPr>
              <w:t xml:space="preserve">4</w:t>
            </w:r>
          </w:p>
        </w:tc>
        <w:tc>
          <w:tcPr>
            <w:tcW w:type="dxa" w:w="8100"/>
            <w:tcMar>
              <w:top w:type="dxa" w:w="80"/>
              <w:left w:type="dxa" w:w="100"/>
              <w:bottom w:type="dxa" w:w="80"/>
              <w:right w:type="dxa" w:w="100"/>
            </w:tcMar>
          </w:tcPr>
          <w:p>
            <w:r>
              <w:rPr>
                <w:b w:val="false"/>
                <w:bCs w:val="false"/>
                <w:color w:val="000000"/>
                <w:sz w:val="21"/>
                <w:szCs w:val="21"/>
              </w:rPr>
              <w:t xml:space="preserve">Bully / Ring election to choose a primary matching engine node per stock shard.</w:t>
            </w:r>
          </w:p>
        </w:tc>
      </w:tr>
      <w:tr>
        <w:tc>
          <w:tcPr>
            <w:tcW w:type="dxa" w:w="1400"/>
            <w:tcMar>
              <w:top w:type="dxa" w:w="80"/>
              <w:left w:type="dxa" w:w="100"/>
              <w:bottom w:type="dxa" w:w="80"/>
              <w:right w:type="dxa" w:w="100"/>
            </w:tcMar>
          </w:tcPr>
          <w:p>
            <w:r>
              <w:rPr>
                <w:b w:val="false"/>
                <w:bCs w:val="false"/>
                <w:color w:val="000000"/>
                <w:sz w:val="21"/>
                <w:szCs w:val="21"/>
              </w:rPr>
              <w:t xml:space="preserve">5</w:t>
            </w:r>
          </w:p>
        </w:tc>
        <w:tc>
          <w:tcPr>
            <w:tcW w:type="dxa" w:w="8100"/>
            <w:tcMar>
              <w:top w:type="dxa" w:w="80"/>
              <w:left w:type="dxa" w:w="100"/>
              <w:bottom w:type="dxa" w:w="80"/>
              <w:right w:type="dxa" w:w="100"/>
            </w:tcMar>
          </w:tcPr>
          <w:p>
            <w:r>
              <w:rPr>
                <w:b w:val="false"/>
                <w:bCs w:val="false"/>
                <w:color w:val="000000"/>
                <w:sz w:val="21"/>
                <w:szCs w:val="21"/>
              </w:rPr>
              <w:t xml:space="preserve">Order book replication and consistency between primary and backup nodes.</w:t>
            </w:r>
          </w:p>
        </w:tc>
      </w:tr>
      <w:tr>
        <w:tc>
          <w:tcPr>
            <w:tcW w:type="dxa" w:w="1400"/>
            <w:tcMar>
              <w:top w:type="dxa" w:w="80"/>
              <w:left w:type="dxa" w:w="100"/>
              <w:bottom w:type="dxa" w:w="80"/>
              <w:right w:type="dxa" w:w="100"/>
            </w:tcMar>
          </w:tcPr>
          <w:p>
            <w:r>
              <w:rPr>
                <w:b w:val="false"/>
                <w:bCs w:val="false"/>
                <w:color w:val="000000"/>
                <w:sz w:val="21"/>
                <w:szCs w:val="21"/>
              </w:rPr>
              <w:t xml:space="preserve">6</w:t>
            </w:r>
          </w:p>
        </w:tc>
        <w:tc>
          <w:tcPr>
            <w:tcW w:type="dxa" w:w="8100"/>
            <w:tcMar>
              <w:top w:type="dxa" w:w="80"/>
              <w:left w:type="dxa" w:w="100"/>
              <w:bottom w:type="dxa" w:w="80"/>
              <w:right w:type="dxa" w:w="100"/>
            </w:tcMar>
          </w:tcPr>
          <w:p>
            <w:r>
              <w:rPr>
                <w:b w:val="false"/>
                <w:bCs w:val="false"/>
                <w:color w:val="000000"/>
                <w:sz w:val="21"/>
                <w:szCs w:val="21"/>
              </w:rPr>
              <w:t xml:space="preserve">Load balancing of incoming orders across multiple matching engine nodes.</w:t>
            </w:r>
          </w:p>
        </w:tc>
      </w:tr>
      <w:tr>
        <w:tc>
          <w:tcPr>
            <w:tcW w:type="dxa" w:w="1400"/>
            <w:tcMar>
              <w:top w:type="dxa" w:w="80"/>
              <w:left w:type="dxa" w:w="100"/>
              <w:bottom w:type="dxa" w:w="80"/>
              <w:right w:type="dxa" w:w="100"/>
            </w:tcMar>
          </w:tcPr>
          <w:p>
            <w:r>
              <w:rPr>
                <w:b w:val="false"/>
                <w:bCs w:val="false"/>
                <w:color w:val="000000"/>
                <w:sz w:val="21"/>
                <w:szCs w:val="21"/>
              </w:rPr>
              <w:t xml:space="preserve">7</w:t>
            </w:r>
          </w:p>
        </w:tc>
        <w:tc>
          <w:tcPr>
            <w:tcW w:type="dxa" w:w="8100"/>
            <w:tcMar>
              <w:top w:type="dxa" w:w="80"/>
              <w:left w:type="dxa" w:w="100"/>
              <w:bottom w:type="dxa" w:w="80"/>
              <w:right w:type="dxa" w:w="100"/>
            </w:tcMar>
          </w:tcPr>
          <w:p>
            <w:r>
              <w:rPr>
                <w:b w:val="false"/>
                <w:bCs w:val="false"/>
                <w:color w:val="000000"/>
                <w:sz w:val="21"/>
                <w:szCs w:val="21"/>
              </w:rPr>
              <w:t xml:space="preserve">Batch analytics on trade history using MapReduce (Hadoop / Spark).</w:t>
            </w:r>
          </w:p>
        </w:tc>
      </w:tr>
      <w:tr>
        <w:tc>
          <w:tcPr>
            <w:tcW w:type="dxa" w:w="1400"/>
            <w:tcMar>
              <w:top w:type="dxa" w:w="80"/>
              <w:left w:type="dxa" w:w="100"/>
              <w:bottom w:type="dxa" w:w="80"/>
              <w:right w:type="dxa" w:w="100"/>
            </w:tcMar>
          </w:tcPr>
          <w:p>
            <w:r>
              <w:rPr>
                <w:b w:val="false"/>
                <w:bCs w:val="false"/>
                <w:color w:val="000000"/>
                <w:sz w:val="21"/>
                <w:szCs w:val="21"/>
              </w:rPr>
              <w:t xml:space="preserve">8</w:t>
            </w:r>
          </w:p>
        </w:tc>
        <w:tc>
          <w:tcPr>
            <w:tcW w:type="dxa" w:w="8100"/>
            <w:tcMar>
              <w:top w:type="dxa" w:w="80"/>
              <w:left w:type="dxa" w:w="100"/>
              <w:bottom w:type="dxa" w:w="80"/>
              <w:right w:type="dxa" w:w="100"/>
            </w:tcMar>
          </w:tcPr>
          <w:p>
            <w:r>
              <w:rPr>
                <w:b w:val="false"/>
                <w:bCs w:val="false"/>
                <w:color w:val="000000"/>
                <w:sz w:val="21"/>
                <w:szCs w:val="21"/>
              </w:rPr>
              <w:t xml:space="preserve">Primary-backup fault tolerance — backup takes over on primary failure without losing orders.</w:t>
            </w:r>
          </w:p>
        </w:tc>
      </w:tr>
      <w:tr>
        <w:tc>
          <w:tcPr>
            <w:tcW w:type="dxa" w:w="1400"/>
            <w:tcMar>
              <w:top w:type="dxa" w:w="80"/>
              <w:left w:type="dxa" w:w="100"/>
              <w:bottom w:type="dxa" w:w="80"/>
              <w:right w:type="dxa" w:w="100"/>
            </w:tcMar>
          </w:tcPr>
          <w:p>
            <w:r>
              <w:rPr>
                <w:b w:val="false"/>
                <w:bCs w:val="false"/>
                <w:color w:val="000000"/>
                <w:sz w:val="21"/>
                <w:szCs w:val="21"/>
              </w:rPr>
              <w:t xml:space="preserve">9</w:t>
            </w:r>
          </w:p>
        </w:tc>
        <w:tc>
          <w:tcPr>
            <w:tcW w:type="dxa" w:w="8100"/>
            <w:tcMar>
              <w:top w:type="dxa" w:w="80"/>
              <w:left w:type="dxa" w:w="100"/>
              <w:bottom w:type="dxa" w:w="80"/>
              <w:right w:type="dxa" w:w="100"/>
            </w:tcMar>
          </w:tcPr>
          <w:p>
            <w:r>
              <w:rPr>
                <w:b w:val="false"/>
                <w:bCs w:val="false"/>
                <w:color w:val="000000"/>
                <w:sz w:val="21"/>
                <w:szCs w:val="21"/>
              </w:rPr>
              <w:t xml:space="preserve">MPI-based broadcast of price updates and gather of trade confirmations.</w:t>
            </w:r>
          </w:p>
        </w:tc>
      </w:tr>
      <w:tr>
        <w:tc>
          <w:tcPr>
            <w:tcW w:type="dxa" w:w="1400"/>
            <w:tcMar>
              <w:top w:type="dxa" w:w="80"/>
              <w:left w:type="dxa" w:w="100"/>
              <w:bottom w:type="dxa" w:w="80"/>
              <w:right w:type="dxa" w:w="100"/>
            </w:tcMar>
          </w:tcPr>
          <w:p>
            <w:r>
              <w:rPr>
                <w:b w:val="false"/>
                <w:bCs w:val="false"/>
                <w:color w:val="000000"/>
                <w:sz w:val="21"/>
                <w:szCs w:val="21"/>
              </w:rPr>
              <w:t xml:space="preserve">10</w:t>
            </w:r>
          </w:p>
        </w:tc>
        <w:tc>
          <w:tcPr>
            <w:tcW w:type="dxa" w:w="8100"/>
            <w:tcMar>
              <w:top w:type="dxa" w:w="80"/>
              <w:left w:type="dxa" w:w="100"/>
              <w:bottom w:type="dxa" w:w="80"/>
              <w:right w:type="dxa" w:w="100"/>
            </w:tcMar>
          </w:tcPr>
          <w:p>
            <w:r>
              <w:rPr>
                <w:b w:val="false"/>
                <w:bCs w:val="false"/>
                <w:color w:val="000000"/>
                <w:sz w:val="21"/>
                <w:szCs w:val="21"/>
              </w:rPr>
              <w:t xml:space="preserve">Parallel computation of a stock correlation matrix using MPI.</w:t>
            </w:r>
          </w:p>
        </w:tc>
      </w:tr>
    </w:tbl>
    <w:p>
      <w:pPr>
        <w:pStyle w:val="Heading1"/>
        <w:spacing w:after="140" w:before="280"/>
      </w:pPr>
      <w:r>
        <w:rPr>
          <w:b/>
          <w:bCs/>
          <w:color w:val="1F4E79"/>
          <w:sz w:val="28"/>
          <w:szCs w:val="28"/>
        </w:rPr>
        <w:t xml:space="preserve">4. References</w:t>
      </w:r>
    </w:p>
    <w:p>
      <w:pPr>
        <w:pStyle w:val="ListParagraph"/>
        <w:numPr>
          <w:ilvl w:val="0"/>
          <w:numId w:val="2"/>
        </w:numPr>
        <w:spacing w:after="80" w:line="280"/>
      </w:pPr>
      <w:r>
        <w:rPr>
          <w:sz w:val="22"/>
          <w:szCs w:val="22"/>
        </w:rPr>
        <w:t xml:space="preserve">A. S. Tanenbaum and M. van Steen, Distributed Systems: Principles and Paradigms, 3rd ed., Pearson, 2017.</w:t>
      </w:r>
    </w:p>
    <w:p>
      <w:pPr>
        <w:pStyle w:val="ListParagraph"/>
        <w:numPr>
          <w:ilvl w:val="0"/>
          <w:numId w:val="2"/>
        </w:numPr>
        <w:spacing w:after="80" w:line="280"/>
      </w:pPr>
      <w:r>
        <w:rPr>
          <w:sz w:val="22"/>
          <w:szCs w:val="22"/>
        </w:rPr>
        <w:t xml:space="preserve">G. Coulouris, J. Dollimore, T. Kindberg, and G. Blair, Distributed Systems: Concepts and Design, 5th ed., Addison-Wesley, 2011.</w:t>
      </w:r>
    </w:p>
    <w:p>
      <w:pPr>
        <w:pStyle w:val="ListParagraph"/>
        <w:numPr>
          <w:ilvl w:val="0"/>
          <w:numId w:val="2"/>
        </w:numPr>
        <w:spacing w:after="80" w:line="280"/>
      </w:pPr>
      <w:r>
        <w:rPr>
          <w:sz w:val="22"/>
          <w:szCs w:val="22"/>
        </w:rPr>
        <w:t xml:space="preserve">L. Lamport, "Time, Clocks, and the Ordering of Events in a Distributed System," Communications of the ACM, vol. 21, no. 7, pp. 558–565, 1978.</w:t>
      </w:r>
    </w:p>
    <w:p>
      <w:pPr>
        <w:pStyle w:val="ListParagraph"/>
        <w:numPr>
          <w:ilvl w:val="0"/>
          <w:numId w:val="2"/>
        </w:numPr>
        <w:spacing w:after="80" w:line="280"/>
      </w:pPr>
      <w:r>
        <w:rPr>
          <w:sz w:val="22"/>
          <w:szCs w:val="22"/>
        </w:rPr>
        <w:t xml:space="preserve">J. Dean and S. Ghemawat, "MapReduce: Simplified Data Processing on Large Clusters," OSDI, 2004.</w:t>
      </w:r>
    </w:p>
    <w:p>
      <w:pPr>
        <w:pStyle w:val="ListParagraph"/>
        <w:numPr>
          <w:ilvl w:val="0"/>
          <w:numId w:val="2"/>
        </w:numPr>
        <w:spacing w:after="80" w:line="280"/>
      </w:pPr>
      <w:r>
        <w:rPr>
          <w:sz w:val="22"/>
          <w:szCs w:val="22"/>
        </w:rPr>
        <w:t xml:space="preserve">Python xmlrpc.server / xmlrpc.client documentation, Python Software Foundation, docs.python.org.</w:t>
      </w:r>
    </w:p>
    <w:p>
      <w:pPr>
        <w:pStyle w:val="ListParagraph"/>
        <w:numPr>
          <w:ilvl w:val="0"/>
          <w:numId w:val="2"/>
        </w:numPr>
        <w:spacing w:after="80" w:line="280"/>
      </w:pPr>
      <w:r>
        <w:rPr>
          <w:sz w:val="22"/>
          <w:szCs w:val="22"/>
        </w:rPr>
        <w:t xml:space="preserve">Apache Spark Documentation, spark.apache.org.</w:t>
      </w:r>
    </w:p>
    <w:p>
      <w:pPr>
        <w:pStyle w:val="ListParagraph"/>
        <w:numPr>
          <w:ilvl w:val="0"/>
          <w:numId w:val="2"/>
        </w:numPr>
        <w:spacing w:after="80" w:line="280"/>
      </w:pPr>
      <w:r>
        <w:rPr>
          <w:sz w:val="22"/>
          <w:szCs w:val="22"/>
        </w:rPr>
        <w:t xml:space="preserve">MPI for Python (mpi4py) Documentation, mpi4py.readthedocs.io.</w:t>
      </w:r>
    </w:p>
    <w:p>
      <w:pPr>
        <w:pStyle w:val="ListParagraph"/>
        <w:numPr>
          <w:ilvl w:val="0"/>
          <w:numId w:val="2"/>
        </w:numPr>
        <w:spacing w:after="80" w:line="280"/>
      </w:pPr>
      <w:r>
        <w:rPr>
          <w:sz w:val="22"/>
          <w:szCs w:val="22"/>
        </w:rPr>
        <w:t xml:space="preserve">Nasdaq, "How the Matching Engine Works" — overview of real-world exchange order matching, nasdaq.com.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2026-08-07T09:06:49.768Z</dcterms:created>
  <dcterms:modified xsi:type="dcterms:W3CDTF">2026-08-07T09:06:49.781Z</dcterms:modified>
</cp:coreProperties>
</file>

<file path=docProps/custom.xml><?xml version="1.0" encoding="utf-8"?>
<Properties xmlns="http://schemas.openxmlformats.org/officeDocument/2006/custom-properties" xmlns:vt="http://schemas.openxmlformats.org/officeDocument/2006/docPropsVTypes"/>
</file>