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HCAHPS Patient Experience Analytics</w:t>
      </w:r>
    </w:p>
    <w:p>
      <w:pPr>
        <w:spacing w:after="300"/>
        <w:jc w:val="center"/>
      </w:pPr>
      <w:r>
        <w:rPr>
          <w:color w:val="555555"/>
          <w:sz w:val="26"/>
          <w:szCs w:val="26"/>
        </w:rPr>
        <w:t xml:space="preserve">Deliverable 10: Business Insights Report</w:t>
      </w:r>
    </w:p>
    <w:p>
      <w:pPr>
        <w:spacing w:after="120"/>
      </w:pPr>
      <w:r>
        <w:t xml:space="preserve">The following insights are derived from the Power BI analysis of the HCAHPS dataset (2015-2023), covering national, regional, state, and measure-level performance.</w:t>
      </w:r>
    </w:p>
    <w:p>
      <w:pPr>
        <w:pStyle w:val="Heading1"/>
        <w:spacing w:after="150" w:before="300"/>
      </w:pPr>
      <w:r>
        <w:t xml:space="preserve">National Performance</w:t>
      </w:r>
    </w:p>
    <w:p>
      <w:pPr>
        <w:spacing w:after="60" w:before="200"/>
      </w:pPr>
      <w:r>
        <w:rPr>
          <w:b/>
          <w:bCs/>
          <w:color w:val="2F5496"/>
          <w:sz w:val="24"/>
          <w:szCs w:val="24"/>
        </w:rPr>
        <w:t xml:space="preserve">Insight 1</w:t>
      </w:r>
    </w:p>
    <w:p>
      <w:pPr>
        <w:spacing w:after="50"/>
      </w:pPr>
      <w:r>
        <w:rPr>
          <w:b/>
          <w:bCs/>
        </w:rPr>
        <w:t xml:space="preserve">Observation: </w:t>
      </w:r>
      <w:r>
        <w:t xml:space="preserve">The national average Top-box % across all measures and periods is 71.41%.</w:t>
      </w:r>
    </w:p>
    <w:p>
      <w:pPr>
        <w:spacing w:after="50"/>
      </w:pPr>
      <w:r>
        <w:rPr>
          <w:b/>
          <w:bCs/>
        </w:rPr>
        <w:t xml:space="preserve">Business Impact: </w:t>
      </w:r>
      <w:r>
        <w:t xml:space="preserve">Overall patient experience is reasonably positive, but there is a meaningful 28.59-point gap to a theoretical 100% ceiling, showing clear room for improvement.</w:t>
      </w:r>
    </w:p>
    <w:p>
      <w:pPr>
        <w:spacing w:after="150"/>
      </w:pPr>
      <w:r>
        <w:rPr>
          <w:b/>
          <w:bCs/>
        </w:rPr>
        <w:t xml:space="preserve">Recommendation: </w:t>
      </w:r>
      <w:r>
        <w:t xml:space="preserve">Use 71.41% as the baseline benchmark for all state and facility-level performance reviews going forward.</w:t>
      </w:r>
    </w:p>
    <w:p>
      <w:pPr>
        <w:spacing w:after="60" w:before="200"/>
      </w:pPr>
      <w:r>
        <w:rPr>
          <w:b/>
          <w:bCs/>
          <w:color w:val="2F5496"/>
          <w:sz w:val="24"/>
          <w:szCs w:val="24"/>
        </w:rPr>
        <w:t xml:space="preserve">Insight 2</w:t>
      </w:r>
    </w:p>
    <w:p>
      <w:pPr>
        <w:spacing w:after="50"/>
      </w:pPr>
      <w:r>
        <w:rPr>
          <w:b/>
          <w:bCs/>
        </w:rPr>
        <w:t xml:space="preserve">Observation: </w:t>
      </w:r>
      <w:r>
        <w:t xml:space="preserve">National satisfaction rose gradually from 71.0% (2015) to a peak of 72.3% (2020-2021), then declined to 70.7% (2022) and 69.4% (2023).</w:t>
      </w:r>
    </w:p>
    <w:p>
      <w:pPr>
        <w:spacing w:after="50"/>
      </w:pPr>
      <w:r>
        <w:rPr>
          <w:b/>
          <w:bCs/>
        </w:rPr>
        <w:t xml:space="preserve">Business Impact: </w:t>
      </w:r>
      <w:r>
        <w:t xml:space="preserve">The two most recent reporting periods show a real, measurable decline in patient experience, reversing several years of steady improvement.</w:t>
      </w:r>
    </w:p>
    <w:p>
      <w:pPr>
        <w:spacing w:after="150"/>
      </w:pPr>
      <w:r>
        <w:rPr>
          <w:b/>
          <w:bCs/>
        </w:rPr>
        <w:t xml:space="preserve">Recommendation: </w:t>
      </w:r>
      <w:r>
        <w:t xml:space="preserve">Prioritize a root-cause review of the 2022-2023 decline before assuming continued gradual improvement.</w:t>
      </w:r>
    </w:p>
    <w:p>
      <w:pPr>
        <w:pStyle w:val="Heading1"/>
        <w:spacing w:after="150" w:before="300"/>
      </w:pPr>
      <w:r>
        <w:t xml:space="preserve">Measure-Level Performance</w:t>
      </w:r>
    </w:p>
    <w:p>
      <w:pPr>
        <w:spacing w:after="60" w:before="200"/>
      </w:pPr>
      <w:r>
        <w:rPr>
          <w:b/>
          <w:bCs/>
          <w:color w:val="2F5496"/>
          <w:sz w:val="24"/>
          <w:szCs w:val="24"/>
        </w:rPr>
        <w:t xml:space="preserve">Insight 3</w:t>
      </w:r>
    </w:p>
    <w:p>
      <w:pPr>
        <w:spacing w:after="50"/>
      </w:pPr>
      <w:r>
        <w:rPr>
          <w:b/>
          <w:bCs/>
        </w:rPr>
        <w:t xml:space="preserve">Observation: </w:t>
      </w:r>
      <w:r>
        <w:t xml:space="preserve">Discharge Information is the highest-performing measure nationally (86.67%), while Care Transition is the lowest (52.56%) — a 34.11-point gap, the largest gap of any dimension analyzed (larger than the region gap of 7.6 points or the state gap of 14.38 points).</w:t>
      </w:r>
    </w:p>
    <w:p>
      <w:pPr>
        <w:spacing w:after="50"/>
      </w:pPr>
      <w:r>
        <w:rPr>
          <w:b/>
          <w:bCs/>
        </w:rPr>
        <w:t xml:space="preserve">Business Impact: </w:t>
      </w:r>
      <w:r>
        <w:t xml:space="preserve">The type of care experience being measured matters more than geography — Care Transition is a systemic, nationwide weak point rather than a regional or state-specific issue.</w:t>
      </w:r>
    </w:p>
    <w:p>
      <w:pPr>
        <w:spacing w:after="150"/>
      </w:pPr>
      <w:r>
        <w:rPr>
          <w:b/>
          <w:bCs/>
        </w:rPr>
        <w:t xml:space="preserve">Recommendation: </w:t>
      </w:r>
      <w:r>
        <w:t xml:space="preserve">Treat Care Transition as the single highest-priority quality improvement area, ahead of any geography-based initiative.</w:t>
      </w:r>
    </w:p>
    <w:p>
      <w:pPr>
        <w:spacing w:after="60" w:before="200"/>
      </w:pPr>
      <w:r>
        <w:rPr>
          <w:b/>
          <w:bCs/>
          <w:color w:val="2F5496"/>
          <w:sz w:val="24"/>
          <w:szCs w:val="24"/>
        </w:rPr>
        <w:t xml:space="preserve">Insight 4</w:t>
      </w:r>
    </w:p>
    <w:p>
      <w:pPr>
        <w:spacing w:after="50"/>
      </w:pPr>
      <w:r>
        <w:rPr>
          <w:b/>
          <w:bCs/>
        </w:rPr>
        <w:t xml:space="preserve">Observation: </w:t>
      </w:r>
      <w:r>
        <w:t xml:space="preserve">Care Transition's Top-box % has stayed roughly flat over 9 years (52% in 2015 to 51% in 2023), showing no sustained improvement despite multiple reporting cycles.</w:t>
      </w:r>
    </w:p>
    <w:p>
      <w:pPr>
        <w:spacing w:after="50"/>
      </w:pPr>
      <w:r>
        <w:rPr>
          <w:b/>
          <w:bCs/>
        </w:rPr>
        <w:t xml:space="preserve">Business Impact: </w:t>
      </w:r>
      <w:r>
        <w:t xml:space="preserve">Past quality initiatives, if any, do not appear to have meaningfully improved this measure — it is a long-standing, unresolved gap.</w:t>
      </w:r>
    </w:p>
    <w:p>
      <w:pPr>
        <w:spacing w:after="150"/>
      </w:pPr>
      <w:r>
        <w:rPr>
          <w:b/>
          <w:bCs/>
        </w:rPr>
        <w:t xml:space="preserve">Recommendation: </w:t>
      </w:r>
      <w:r>
        <w:t xml:space="preserve">Design a dedicated Care Transition improvement program (e.g., structured discharge planning, follow-up care instructions) rather than relying on general quality initiatives.</w:t>
      </w:r>
    </w:p>
    <w:p>
      <w:pPr>
        <w:spacing w:after="60" w:before="200"/>
      </w:pPr>
      <w:r>
        <w:rPr>
          <w:b/>
          <w:bCs/>
          <w:color w:val="2F5496"/>
          <w:sz w:val="24"/>
          <w:szCs w:val="24"/>
        </w:rPr>
        <w:t xml:space="preserve">Insight 5</w:t>
      </w:r>
    </w:p>
    <w:p>
      <w:pPr>
        <w:spacing w:after="50"/>
      </w:pPr>
      <w:r>
        <w:rPr>
          <w:b/>
          <w:bCs/>
        </w:rPr>
        <w:t xml:space="preserve">Observation: </w:t>
      </w:r>
      <w:r>
        <w:t xml:space="preserve">Communication with Doctors (81.33%) and Communication with Nurses (80.11%) are both strong performers, ranking 2nd and 3rd nationally.</w:t>
      </w:r>
    </w:p>
    <w:p>
      <w:pPr>
        <w:spacing w:after="50"/>
      </w:pPr>
      <w:r>
        <w:rPr>
          <w:b/>
          <w:bCs/>
        </w:rPr>
        <w:t xml:space="preserve">Business Impact: </w:t>
      </w:r>
      <w:r>
        <w:t xml:space="preserve">Direct staff-patient communication is a relative strength of the healthcare system and can be used as a model for improving weaker measures.</w:t>
      </w:r>
    </w:p>
    <w:p>
      <w:pPr>
        <w:spacing w:after="150"/>
      </w:pPr>
      <w:r>
        <w:rPr>
          <w:b/>
          <w:bCs/>
        </w:rPr>
        <w:t xml:space="preserve">Recommendation: </w:t>
      </w:r>
      <w:r>
        <w:t xml:space="preserve">Study the practices behind strong doctor/nurse communication scores and evaluate whether similar techniques can be applied to Care Transition and Medicine Communication.</w:t>
      </w:r>
    </w:p>
    <w:p>
      <w:pPr>
        <w:spacing w:after="60" w:before="200"/>
      </w:pPr>
      <w:r>
        <w:rPr>
          <w:b/>
          <w:bCs/>
          <w:color w:val="2F5496"/>
          <w:sz w:val="24"/>
          <w:szCs w:val="24"/>
        </w:rPr>
        <w:t xml:space="preserve">Insight 6</w:t>
      </w:r>
    </w:p>
    <w:p>
      <w:pPr>
        <w:spacing w:after="50"/>
      </w:pPr>
      <w:r>
        <w:rPr>
          <w:b/>
          <w:bCs/>
        </w:rPr>
        <w:t xml:space="preserve">Observation: </w:t>
      </w:r>
      <w:r>
        <w:t xml:space="preserve">Communication about Medicines (64.78%) and Quietness of Hospital Environment (62.22%) are the second and third lowest-performing measures nationally, after Care Transition.</w:t>
      </w:r>
    </w:p>
    <w:p>
      <w:pPr>
        <w:spacing w:after="50"/>
      </w:pPr>
      <w:r>
        <w:rPr>
          <w:b/>
          <w:bCs/>
        </w:rPr>
        <w:t xml:space="preserve">Business Impact: </w:t>
      </w:r>
      <w:r>
        <w:t xml:space="preserve">These represent secondary priority areas for quality improvement, once Care Transition is addressed.</w:t>
      </w:r>
    </w:p>
    <w:p>
      <w:pPr>
        <w:spacing w:after="150"/>
      </w:pPr>
      <w:r>
        <w:rPr>
          <w:b/>
          <w:bCs/>
        </w:rPr>
        <w:t xml:space="preserve">Recommendation: </w:t>
      </w:r>
      <w:r>
        <w:t xml:space="preserve">Include these two measures in the next phase of quality improvement planning.</w:t>
      </w:r>
    </w:p>
    <w:p>
      <w:pPr>
        <w:pStyle w:val="Heading1"/>
        <w:spacing w:after="150" w:before="300"/>
      </w:pPr>
      <w:r>
        <w:t xml:space="preserve">Regional Performance</w:t>
      </w:r>
    </w:p>
    <w:p>
      <w:pPr>
        <w:spacing w:after="60" w:before="200"/>
      </w:pPr>
      <w:r>
        <w:rPr>
          <w:b/>
          <w:bCs/>
          <w:color w:val="2F5496"/>
          <w:sz w:val="24"/>
          <w:szCs w:val="24"/>
        </w:rPr>
        <w:t xml:space="preserve">Insight 7</w:t>
      </w:r>
    </w:p>
    <w:p>
      <w:pPr>
        <w:spacing w:after="50"/>
      </w:pPr>
      <w:r>
        <w:rPr>
          <w:b/>
          <w:bCs/>
        </w:rPr>
        <w:t xml:space="preserve">Observation: </w:t>
      </w:r>
      <w:r>
        <w:t xml:space="preserve">West North Central is the best-performing region (74.89% average Top-box %), while Mid-Atlantic is the weakest (67.30%) — a 7.6-point gap.</w:t>
      </w:r>
    </w:p>
    <w:p>
      <w:pPr>
        <w:spacing w:after="50"/>
      </w:pPr>
      <w:r>
        <w:rPr>
          <w:b/>
          <w:bCs/>
        </w:rPr>
        <w:t xml:space="preserve">Business Impact: </w:t>
      </w:r>
      <w:r>
        <w:t xml:space="preserve">Regional variation exists but is much smaller than the measure-level variation, suggesting geography is a secondary factor compared to the type of care measure.</w:t>
      </w:r>
    </w:p>
    <w:p>
      <w:pPr>
        <w:spacing w:after="150"/>
      </w:pPr>
      <w:r>
        <w:rPr>
          <w:b/>
          <w:bCs/>
        </w:rPr>
        <w:t xml:space="preserve">Recommendation: </w:t>
      </w:r>
      <w:r>
        <w:t xml:space="preserve">Use Mid-Atlantic and South Atlantic (68.82%) as focus regions for regional-level quality improvement support.</w:t>
      </w:r>
    </w:p>
    <w:p>
      <w:pPr>
        <w:pStyle w:val="Heading1"/>
        <w:spacing w:after="150" w:before="300"/>
      </w:pPr>
      <w:r>
        <w:t xml:space="preserve">State-Level Performance</w:t>
      </w:r>
    </w:p>
    <w:p>
      <w:pPr>
        <w:spacing w:after="60" w:before="200"/>
      </w:pPr>
      <w:r>
        <w:rPr>
          <w:b/>
          <w:bCs/>
          <w:color w:val="2F5496"/>
          <w:sz w:val="24"/>
          <w:szCs w:val="24"/>
        </w:rPr>
        <w:t xml:space="preserve">Insight 8</w:t>
      </w:r>
    </w:p>
    <w:p>
      <w:pPr>
        <w:spacing w:after="50"/>
      </w:pPr>
      <w:r>
        <w:rPr>
          <w:b/>
          <w:bCs/>
        </w:rPr>
        <w:t xml:space="preserve">Observation: </w:t>
      </w:r>
      <w:r>
        <w:t xml:space="preserve">South Dakota (76.81%) and Nebraska (76.72%) are the top-performing states, while District of Columbia (62.43%) and New Jersey (65.57%) are the weakest — a 14.38-point gap between the best and worst state.</w:t>
      </w:r>
    </w:p>
    <w:p>
      <w:pPr>
        <w:spacing w:after="50"/>
      </w:pPr>
      <w:r>
        <w:rPr>
          <w:b/>
          <w:bCs/>
        </w:rPr>
        <w:t xml:space="preserve">Business Impact: </w:t>
      </w:r>
      <w:r>
        <w:t xml:space="preserve">There is meaningful state-to-state variation in patient experience, useful for benchmarking and best-practice sharing.</w:t>
      </w:r>
    </w:p>
    <w:p>
      <w:pPr>
        <w:spacing w:after="150"/>
      </w:pPr>
      <w:r>
        <w:rPr>
          <w:b/>
          <w:bCs/>
        </w:rPr>
        <w:t xml:space="preserve">Recommendation: </w:t>
      </w:r>
      <w:r>
        <w:t xml:space="preserve">Facilitate knowledge-sharing between top-performing states (South Dakota, Nebraska) and lower-performing states.</w:t>
      </w:r>
    </w:p>
    <w:p>
      <w:pPr>
        <w:spacing w:after="60" w:before="200"/>
      </w:pPr>
      <w:r>
        <w:rPr>
          <w:b/>
          <w:bCs/>
          <w:color w:val="2F5496"/>
          <w:sz w:val="24"/>
          <w:szCs w:val="24"/>
        </w:rPr>
        <w:t xml:space="preserve">Insight 9</w:t>
      </w:r>
    </w:p>
    <w:p>
      <w:pPr>
        <w:spacing w:after="50"/>
      </w:pPr>
      <w:r>
        <w:rPr>
          <w:b/>
          <w:bCs/>
        </w:rPr>
        <w:t xml:space="preserve">Observation: </w:t>
      </w:r>
      <w:r>
        <w:t xml:space="preserve">Several of the lowest-performing states — District of Columbia, New Jersey, New York, Maryland, California — are largely urban, high-density areas.</w:t>
      </w:r>
    </w:p>
    <w:p>
      <w:pPr>
        <w:spacing w:after="50"/>
      </w:pPr>
      <w:r>
        <w:rPr>
          <w:b/>
          <w:bCs/>
        </w:rPr>
        <w:t xml:space="preserve">Business Impact: </w:t>
      </w:r>
      <w:r>
        <w:t xml:space="preserve">This pattern may suggest that hospital environment factors (e.g., higher patient volumes, urban hospital settings) could be linked to lower satisfaction, although this is an observation, not a confirmed cause.</w:t>
      </w:r>
    </w:p>
    <w:p>
      <w:pPr>
        <w:spacing w:after="150"/>
      </w:pPr>
      <w:r>
        <w:rPr>
          <w:b/>
          <w:bCs/>
        </w:rPr>
        <w:t xml:space="preserve">Recommendation: </w:t>
      </w:r>
      <w:r>
        <w:t xml:space="preserve">Treat this as a hypothesis for further investigation rather than a conclusion — recommend a follow-up study correlating hospital size/location with satisfaction scores.</w:t>
      </w:r>
    </w:p>
    <w:p>
      <w:pPr>
        <w:pStyle w:val="Heading1"/>
        <w:spacing w:after="150" w:before="300"/>
      </w:pPr>
      <w:r>
        <w:t xml:space="preserve">Data Reliability</w:t>
      </w:r>
    </w:p>
    <w:p>
      <w:pPr>
        <w:spacing w:after="60" w:before="200"/>
      </w:pPr>
      <w:r>
        <w:rPr>
          <w:b/>
          <w:bCs/>
          <w:color w:val="2F5496"/>
          <w:sz w:val="24"/>
          <w:szCs w:val="24"/>
        </w:rPr>
        <w:t xml:space="preserve">Insight 10</w:t>
      </w:r>
    </w:p>
    <w:p>
      <w:pPr>
        <w:spacing w:after="50"/>
      </w:pPr>
      <w:r>
        <w:rPr>
          <w:b/>
          <w:bCs/>
        </w:rPr>
        <w:t xml:space="preserve">Observation: </w:t>
      </w:r>
      <w:r>
        <w:t xml:space="preserve">The average survey response rate across facilities is only 26.61%, and it varies widely from as low as 3% to as high as 100%.</w:t>
      </w:r>
    </w:p>
    <w:p>
      <w:pPr>
        <w:spacing w:after="50"/>
      </w:pPr>
      <w:r>
        <w:rPr>
          <w:b/>
          <w:bCs/>
        </w:rPr>
        <w:t xml:space="preserve">Business Impact: </w:t>
      </w:r>
      <w:r>
        <w:t xml:space="preserve">Facilities with very low response rates carry more statistical uncertainty in their reported scores, which can affect the reliability of state and facility-level comparisons.</w:t>
      </w:r>
    </w:p>
    <w:p>
      <w:pPr>
        <w:spacing w:after="150"/>
      </w:pPr>
      <w:r>
        <w:rPr>
          <w:b/>
          <w:bCs/>
        </w:rPr>
        <w:t xml:space="preserve">Recommendation: </w:t>
      </w:r>
      <w:r>
        <w:t xml:space="preserve">When benchmarking individual facilities, consider flagging or footnoting results based on very low response rates (e.g., below 10%) rather than treating all facility scores as equally reliable.</w:t>
      </w:r>
    </w:p>
    <w:p>
      <w:pPr>
        <w:spacing w:after="60" w:before="200"/>
      </w:pPr>
      <w:r>
        <w:rPr>
          <w:b/>
          <w:bCs/>
          <w:color w:val="2F5496"/>
          <w:sz w:val="24"/>
          <w:szCs w:val="24"/>
        </w:rPr>
        <w:t xml:space="preserve">Insight 11</w:t>
      </w:r>
    </w:p>
    <w:p>
      <w:pPr>
        <w:spacing w:after="50"/>
      </w:pPr>
      <w:r>
        <w:rPr>
          <w:b/>
          <w:bCs/>
        </w:rPr>
        <w:t xml:space="preserve">Observation: </w:t>
      </w:r>
      <w:r>
        <w:t xml:space="preserve">Five location codes in the Responses table (Puerto Rico, Guam, Virgin Islands, American Samoa, Northern Mariana Islands) represent US territories, not states, and are not part of the official 50-state + DC scope defined in the data dictionary.</w:t>
      </w:r>
    </w:p>
    <w:p>
      <w:pPr>
        <w:spacing w:after="50"/>
      </w:pPr>
      <w:r>
        <w:rPr>
          <w:b/>
          <w:bCs/>
        </w:rPr>
        <w:t xml:space="preserve">Business Impact: </w:t>
      </w:r>
      <w:r>
        <w:t xml:space="preserve">If included in state or regional analysis without adjustment, these codes would show as unassigned/blank regions and could distort regional comparisons.</w:t>
      </w:r>
    </w:p>
    <w:p>
      <w:pPr>
        <w:spacing w:after="150"/>
      </w:pPr>
      <w:r>
        <w:rPr>
          <w:b/>
          <w:bCs/>
        </w:rPr>
        <w:t xml:space="preserve">Recommendation: </w:t>
      </w:r>
      <w:r>
        <w:t xml:space="preserve">Continue to exclude these codes from state/region-level analysis, as done in this project, and note them separately if territory-level reporting is ever required.</w:t>
      </w:r>
    </w:p>
    <w:p>
      <w:pPr>
        <w:pStyle w:val="Heading1"/>
        <w:spacing w:after="150" w:before="300"/>
      </w:pPr>
      <w:r>
        <w:t xml:space="preserve">Overall Pattern</w:t>
      </w:r>
    </w:p>
    <w:p>
      <w:pPr>
        <w:spacing w:after="60" w:before="200"/>
      </w:pPr>
      <w:r>
        <w:rPr>
          <w:b/>
          <w:bCs/>
          <w:color w:val="2F5496"/>
          <w:sz w:val="24"/>
          <w:szCs w:val="24"/>
        </w:rPr>
        <w:t xml:space="preserve">Insight 12</w:t>
      </w:r>
    </w:p>
    <w:p>
      <w:pPr>
        <w:spacing w:after="50"/>
      </w:pPr>
      <w:r>
        <w:rPr>
          <w:b/>
          <w:bCs/>
        </w:rPr>
        <w:t xml:space="preserve">Observation: </w:t>
      </w:r>
      <w:r>
        <w:t xml:space="preserve">The gap between the best and worst quality measure (34.11 points) is roughly 4.5 times larger than the gap between the best and worst region (7.6 points), and over 2 times larger than the state-level gap (14.38 points).</w:t>
      </w:r>
    </w:p>
    <w:p>
      <w:pPr>
        <w:spacing w:after="50"/>
      </w:pPr>
      <w:r>
        <w:rPr>
          <w:b/>
          <w:bCs/>
        </w:rPr>
        <w:t xml:space="preserve">Business Impact: </w:t>
      </w:r>
      <w:r>
        <w:t xml:space="preserve">This indicates that what aspect of care is being measured has a far bigger impact on patient satisfaction outcomes than where the care is delivered.</w:t>
      </w:r>
    </w:p>
    <w:p>
      <w:pPr>
        <w:spacing w:after="150"/>
      </w:pPr>
      <w:r>
        <w:rPr>
          <w:b/>
          <w:bCs/>
        </w:rPr>
        <w:t xml:space="preserve">Recommendation: </w:t>
      </w:r>
      <w:r>
        <w:t xml:space="preserve">Prioritize national, measure-specific quality improvement programs (especially Care Transition) over purely region-based initiatives, since they are likely to have a larger overall impact on national satisfaction.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2026-08-01T12:13:06.663Z</dcterms:created>
  <dcterms:modified xsi:type="dcterms:W3CDTF">2026-08-01T12:13:06.678Z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