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HCAHPS Patient Experience Analytics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Deliverable 11: Executive Recommendation Report</w:t>
      </w:r>
    </w:p>
    <w:p>
      <w:pPr>
        <w:spacing w:after="120"/>
      </w:pPr>
      <w:r>
        <w:t xml:space="preserve">Based on the analysis of the HCAHPS dataset (2015-2023) and the insights identified in Deliverable 10, the following recommendations are proposed for the Executive Committee and Policy Team.</w:t>
      </w:r>
    </w:p>
    <w:p>
      <w:pPr>
        <w:pStyle w:val="Heading1"/>
        <w:spacing w:after="150" w:before="300"/>
      </w:pPr>
      <w:r>
        <w:t xml:space="preserve">1. Improving Patient Communication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Communication with Doctors and Nurses are already strong (81.3% and 80.1%). Document and share the specific practices behind these scores as a model for other measures.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Prioritize improving Communication about Medicines (64.8%), which lags well behind general staff communication.</w:t>
      </w:r>
    </w:p>
    <w:p>
      <w:pPr>
        <w:pStyle w:val="Heading1"/>
        <w:spacing w:after="150" w:before="300"/>
      </w:pPr>
      <w:r>
        <w:t xml:space="preserve">2. Staff Training Programs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Introduce structured training focused specifically on Care Transition — the lowest-performing measure nationally (52.6%) and one that has not improved meaningfully over 9 years.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Extend training to Quietness of Hospital Environment and Responsiveness of Hospital Staff, the next two weakest areas.</w:t>
      </w:r>
    </w:p>
    <w:p>
      <w:pPr>
        <w:pStyle w:val="Heading1"/>
        <w:spacing w:after="150" w:before="300"/>
      </w:pPr>
      <w:r>
        <w:t xml:space="preserve">3. Patient Experience Initiatives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Launch a national Care Transition improvement initiative (e.g., standardized discharge planning, clearer follow-up instructions, post-discharge check-ins), given this measure's size of impact (34-point gap vs. best measure) far exceeds any regional or state-level gap.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Treat this as the single highest-priority initiative, ahead of geography-specific programs.</w:t>
      </w:r>
    </w:p>
    <w:p>
      <w:pPr>
        <w:pStyle w:val="Heading1"/>
        <w:spacing w:after="150" w:before="300"/>
      </w:pPr>
      <w:r>
        <w:t xml:space="preserve">4. Regional Quality Improvement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Focus additional support on the Mid-Atlantic and South Atlantic regions, the two lowest-performing regions (67.3% and 68.8%).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Facilitate best-practice sharing from West North Central and West South Central, the top two regions (74.9% and 73.7%).</w:t>
      </w:r>
    </w:p>
    <w:p>
      <w:pPr>
        <w:pStyle w:val="Heading1"/>
        <w:spacing w:after="150" w:before="300"/>
      </w:pPr>
      <w:r>
        <w:t xml:space="preserve">5. Survey Participation Improvement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Address the low average survey response rate (26.6%) and its wide variability (3%-100%) by encouraging higher survey completion at facilities with historically low response rates.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When publishing state or facility comparisons, flag results based on very low response rates to avoid over-interpreting statistically unreliable scores.</w:t>
      </w:r>
    </w:p>
    <w:p>
      <w:pPr>
        <w:pStyle w:val="Heading1"/>
        <w:spacing w:after="150" w:before="300"/>
      </w:pPr>
      <w:r>
        <w:t xml:space="preserve">6. Benchmarking Best Practices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South Dakota and Nebraska (the top two states at ~76.7-76.8%) as benchmark case studies for other states, particularly lower-performing urban states like New Jersey, New York, and California.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Establish a recurring (e.g., annual) benchmarking review comparing each state to the national average of 71.41%.</w:t>
      </w:r>
    </w:p>
    <w:p>
      <w:pPr>
        <w:pStyle w:val="Heading1"/>
        <w:spacing w:after="150" w:before="300"/>
      </w:pPr>
      <w:r>
        <w:t xml:space="preserve">7. Hospital Accreditation Support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Provide the Accreditation Team with the National vs State Benchmark dashboard (Deliverable 9) to support consistent, data-driven accreditation reviews.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Consider incorporating Care Transition and Communication about Medicines scores explicitly into accreditation criteria, given their consistently low national performance.</w:t>
      </w:r>
    </w:p>
    <w:p>
      <w:pPr>
        <w:pStyle w:val="Heading1"/>
        <w:spacing w:after="150" w:before="300"/>
      </w:pPr>
      <w:r>
        <w:t xml:space="preserve">8. Policy Recommendations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Given the 2022-2023 decline in national satisfaction (72.3% peak in 2020-2021 down to 69.4% in 2023), commission a focused review into potential causes (e.g., staffing levels, post-pandemic operational changes) before assuming the decline is temporary.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Formally exclude US territories (PR, GU, VI, AS, MP) from state/region-level policy benchmarks, consistent with the official data scope, and consider a separate reporting track for them if required in the future.</w:t>
      </w:r>
    </w:p>
    <w:p>
      <w:pPr>
        <w:pStyle w:val="Heading1"/>
        <w:spacing w:after="150" w:before="300"/>
      </w:pPr>
      <w:r>
        <w:t xml:space="preserve">Summary</w:t>
      </w:r>
    </w:p>
    <w:p>
      <w:pPr>
        <w:spacing w:after="120"/>
      </w:pPr>
      <w:r>
        <w:t xml:space="preserve">The data shows a healthcare system with clear relative strengths (doctor/nurse communication, discharge information) and one dominant, long-standing weakness (Care Transition) that affects national performance more than any single region or state. The most impactful next step is a focused, national Care Transition initiative, supported by targeted regional attention to Mid-Atlantic and South Atlantic, and improved survey participation to strengthen the reliability of future reporting.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2026-08-01T12:13:33.781Z</dcterms:created>
  <dcterms:modified xsi:type="dcterms:W3CDTF">2026-08-01T12:13:33.784Z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