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HCAHPS Patient Experience Analytics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Deliverable 5: KPI Definition Document</w:t>
      </w:r>
    </w:p>
    <w:p>
      <w:pPr>
        <w:spacing w:after="120"/>
      </w:pPr>
      <w:r>
        <w:t xml:space="preserve">This document defines every KPI used in the dashboards — its purpose and why it matters to the business. The corresponding DAX formulas, as implemented in Power BI, are documented separately in Deliverable 8 (DAX Development).</w:t>
      </w:r>
    </w:p>
    <w:p>
      <w:pPr>
        <w:pStyle w:val="Heading1"/>
        <w:spacing w:after="150" w:before="300"/>
      </w:pPr>
      <w:r>
        <w:t xml:space="preserve">1. National-Level KPIs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National Top-box %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The average percentage of patients nationally who gave the best possible response, across all measures and periods.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This is the primary national benchmark used to compare individual states and regions against.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National Middle-box %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The average percentage of patients nationally who gave a moderate/average response.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Helps understand how many patients had a neutral experience, rather than a strongly positive or negative one.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National Bottom-box %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The average percentage of patients nationally who gave the lowest response.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Highlights the scale of negative patient experience at the national level.</w:t>
      </w:r>
    </w:p>
    <w:p>
      <w:pPr>
        <w:pStyle w:val="Heading1"/>
        <w:spacing w:after="150" w:before="300"/>
      </w:pPr>
      <w:r>
        <w:t xml:space="preserve">2. State &amp; Regional KPIs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State Average Top-box %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The average Top-box % for a given state, across all measures and periods (changes based on filter context, e.g., when a state is selected on the map).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Core measure used for state ranking, the state map, and benchmarking against the national average.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State Satisfaction Score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Same calculation as State Average Top-box %, used specifically as the score displayed for a selected state on the State Performance dashboard.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Gives administrators a single, simple score to judge a state's overall patient experience.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Regional Satisfaction Score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The average Top-box % for a region. Because State_Results is related to the States table (which contains Region), this reuses the same base measure — Power BI automatically filters State_Results by Region when Region is used in a visual.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Enables comparison of the 9 US regions to identify which regions outperform others.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Regional Ranking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Ranks each region based on its Regional Satisfaction Score, highest score = Rank 1.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Used to quickly identify the best and worst performing regions.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State Ranking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Ranks each state based on its State Average Top-box %, highest score = Rank 1.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Used to identify top and bottom performing states, and supports the State Performance dashboard.</w:t>
      </w:r>
    </w:p>
    <w:p>
      <w:pPr>
        <w:pStyle w:val="Heading1"/>
        <w:spacing w:after="150" w:before="300"/>
      </w:pPr>
      <w:r>
        <w:t xml:space="preserve">3. Survey &amp; Measure KPIs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Survey Response Rate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The average response rate across facilities, based on the cleaned Response Rate (%) column (with 'Not Available' values treated as blank).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Indicates how reliable the underlying survey data is — low response rates reduce confidence in the results.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Number of Participating States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Count of distinct states that have at least one result recorded.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Confirms coverage of the dataset and is used as a KPI card on the Executive Overview dashboard.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Number of Quality Measures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Count of distinct patient experience measures being tracked.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Gives context on the breadth of the survey (how many different aspects of care are measured).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Highest Performing Measure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Identifies the quality measure with the highest average national Top-box %.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Tells leadership which aspect of care patients are most satisfied with — useful for recognizing best practices.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Lowest Performing Measure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Identifies the quality measure with the lowest average national Top-box %.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Tells leadership which aspect of care needs the most improvement — directly supports quality improvement prioritization.</w:t>
      </w:r>
    </w:p>
    <w:p>
      <w:pPr>
        <w:pStyle w:val="Heading1"/>
        <w:spacing w:after="150" w:before="300"/>
      </w:pPr>
      <w:r>
        <w:t xml:space="preserve">4. Trend KPI</w:t>
      </w:r>
    </w:p>
    <w:p>
      <w:pPr>
        <w:spacing w:after="60" w:before="220"/>
      </w:pPr>
      <w:r>
        <w:rPr>
          <w:b/>
          <w:bCs/>
          <w:color w:val="2F5496"/>
          <w:sz w:val="24"/>
          <w:szCs w:val="24"/>
        </w:rPr>
        <w:t xml:space="preserve">Year-over-Year Satisfaction Change</w:t>
      </w:r>
    </w:p>
    <w:p>
      <w:pPr>
        <w:spacing w:after="60"/>
      </w:pPr>
      <w:r>
        <w:rPr>
          <w:b/>
          <w:bCs/>
        </w:rPr>
        <w:t xml:space="preserve">Definition: </w:t>
      </w:r>
      <w:r>
        <w:t xml:space="preserve">The change in average Top-box % between the currently selected reporting period and the previous reporting period.</w:t>
      </w:r>
    </w:p>
    <w:p>
      <w:pPr>
        <w:spacing w:after="200"/>
      </w:pPr>
      <w:r>
        <w:rPr>
          <w:b/>
          <w:bCs/>
        </w:rPr>
        <w:t xml:space="preserve">Business Importance: </w:t>
      </w:r>
      <w:r>
        <w:t xml:space="preserve">Shows whether patient experience is improving, declining, or stable over time — core to the Trend Analysis dashboard. Requires the Reports table to be marked as a Date Table using the Start Date column.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2026-08-03T16:44:34.013Z</dcterms:created>
  <dcterms:modified xsi:type="dcterms:W3CDTF">2026-08-03T16:44:34.013Z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