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HCAHPS Patient Experience Analytics</w:t>
      </w:r>
    </w:p>
    <w:p>
      <w:pPr>
        <w:spacing w:after="300"/>
        <w:jc w:val="center"/>
      </w:pPr>
      <w:r>
        <w:rPr>
          <w:color w:val="555555"/>
          <w:sz w:val="26"/>
          <w:szCs w:val="26"/>
        </w:rPr>
        <w:t xml:space="preserve">Deliverable 7: Power BI Data Modeling</w:t>
      </w:r>
    </w:p>
    <w:p>
      <w:pPr>
        <w:spacing w:after="120"/>
      </w:pPr>
      <w:r>
        <w:t xml:space="preserve">This document confirms the Power BI data model built in the .pbix file, implementing the star schema originally planned in Deliverable 3 (Data Model Report).</w:t>
      </w:r>
    </w:p>
    <w:p>
      <w:pPr>
        <w:pStyle w:val="Heading1"/>
        <w:spacing w:after="150" w:before="300"/>
      </w:pPr>
      <w:r>
        <w:t xml:space="preserve">1. Tables Loaded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Dimension tables: states, Measure_List (measures), questions, reports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Fact tables: responses, national_results, state_results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Data was imported via Power Query, with column headers corrected (Use First Row as Headers) and data types validated for each table.</w:t>
      </w:r>
    </w:p>
    <w:p>
      <w:pPr>
        <w:pStyle w:val="Heading1"/>
        <w:spacing w:after="150" w:before="300"/>
      </w:pPr>
      <w:r>
        <w:t xml:space="preserve">2. Relationships Implemented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800"/>
        <w:gridCol w:w="1400"/>
      </w:tblGrid>
      <w:tr>
        <w:tc>
          <w:tcPr>
            <w:tcW w:type="dxa" w:w="38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From Table (Column)</w:t>
            </w:r>
          </w:p>
        </w:tc>
        <w:tc>
          <w:tcPr>
            <w:tcW w:type="dxa" w:w="38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To Table (Column)</w:t>
            </w:r>
          </w:p>
        </w:tc>
        <w:tc>
          <w:tcPr>
            <w:tcW w:type="dxa" w:w="14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Cardinality</w:t>
            </w:r>
          </w:p>
        </w:tc>
      </w:tr>
      <w:tr>
        <w:tc>
          <w:tcPr>
            <w:tcW w:type="dxa" w:w="3800"/>
          </w:tcPr>
          <w:p>
            <w:r>
              <w:t xml:space="preserve">national_results (Release Period)</w:t>
            </w:r>
          </w:p>
        </w:tc>
        <w:tc>
          <w:tcPr>
            <w:tcW w:type="dxa" w:w="3800"/>
          </w:tcPr>
          <w:p>
            <w:r>
              <w:t xml:space="preserve">reports (Release Period)</w:t>
            </w:r>
          </w:p>
        </w:tc>
        <w:tc>
          <w:tcPr>
            <w:tcW w:type="dxa" w:w="1400"/>
          </w:tcPr>
          <w:p>
            <w:r>
              <w:t xml:space="preserve">Many to One</w:t>
            </w:r>
          </w:p>
        </w:tc>
      </w:tr>
      <w:tr>
        <w:tc>
          <w:tcPr>
            <w:tcW w:type="dxa" w:w="3800"/>
            <w:shd w:fill="F2F2F2" w:val="clear"/>
          </w:tcPr>
          <w:p>
            <w:r>
              <w:t xml:space="preserve">responses (Release Period)</w:t>
            </w:r>
          </w:p>
        </w:tc>
        <w:tc>
          <w:tcPr>
            <w:tcW w:type="dxa" w:w="3800"/>
            <w:shd w:fill="F2F2F2" w:val="clear"/>
          </w:tcPr>
          <w:p>
            <w:r>
              <w:t xml:space="preserve">reports (Release Period)</w:t>
            </w:r>
          </w:p>
        </w:tc>
        <w:tc>
          <w:tcPr>
            <w:tcW w:type="dxa" w:w="1400"/>
            <w:shd w:fill="F2F2F2" w:val="clear"/>
          </w:tcPr>
          <w:p>
            <w:r>
              <w:t xml:space="preserve">Many to One</w:t>
            </w:r>
          </w:p>
        </w:tc>
      </w:tr>
      <w:tr>
        <w:tc>
          <w:tcPr>
            <w:tcW w:type="dxa" w:w="3800"/>
          </w:tcPr>
          <w:p>
            <w:r>
              <w:t xml:space="preserve">responses (State)</w:t>
            </w:r>
          </w:p>
        </w:tc>
        <w:tc>
          <w:tcPr>
            <w:tcW w:type="dxa" w:w="3800"/>
          </w:tcPr>
          <w:p>
            <w:r>
              <w:t xml:space="preserve">states (State)</w:t>
            </w:r>
          </w:p>
        </w:tc>
        <w:tc>
          <w:tcPr>
            <w:tcW w:type="dxa" w:w="1400"/>
          </w:tcPr>
          <w:p>
            <w:r>
              <w:t xml:space="preserve">Many to One</w:t>
            </w:r>
          </w:p>
        </w:tc>
      </w:tr>
      <w:tr>
        <w:tc>
          <w:tcPr>
            <w:tcW w:type="dxa" w:w="3800"/>
            <w:shd w:fill="F2F2F2" w:val="clear"/>
          </w:tcPr>
          <w:p>
            <w:r>
              <w:t xml:space="preserve">state_results (Release Period)</w:t>
            </w:r>
          </w:p>
        </w:tc>
        <w:tc>
          <w:tcPr>
            <w:tcW w:type="dxa" w:w="3800"/>
            <w:shd w:fill="F2F2F2" w:val="clear"/>
          </w:tcPr>
          <w:p>
            <w:r>
              <w:t xml:space="preserve">reports (Release Period)</w:t>
            </w:r>
          </w:p>
        </w:tc>
        <w:tc>
          <w:tcPr>
            <w:tcW w:type="dxa" w:w="1400"/>
            <w:shd w:fill="F2F2F2" w:val="clear"/>
          </w:tcPr>
          <w:p>
            <w:r>
              <w:t xml:space="preserve">Many to One</w:t>
            </w:r>
          </w:p>
        </w:tc>
      </w:tr>
      <w:tr>
        <w:tc>
          <w:tcPr>
            <w:tcW w:type="dxa" w:w="3800"/>
          </w:tcPr>
          <w:p>
            <w:r>
              <w:t xml:space="preserve">state_results (State)</w:t>
            </w:r>
          </w:p>
        </w:tc>
        <w:tc>
          <w:tcPr>
            <w:tcW w:type="dxa" w:w="3800"/>
          </w:tcPr>
          <w:p>
            <w:r>
              <w:t xml:space="preserve">states (State)</w:t>
            </w:r>
          </w:p>
        </w:tc>
        <w:tc>
          <w:tcPr>
            <w:tcW w:type="dxa" w:w="1400"/>
          </w:tcPr>
          <w:p>
            <w:r>
              <w:t xml:space="preserve">Many to One</w:t>
            </w:r>
          </w:p>
        </w:tc>
      </w:tr>
      <w:tr>
        <w:tc>
          <w:tcPr>
            <w:tcW w:type="dxa" w:w="3800"/>
            <w:shd w:fill="F2F2F2" w:val="clear"/>
          </w:tcPr>
          <w:p>
            <w:r>
              <w:t xml:space="preserve">national_results (Measure ID)</w:t>
            </w:r>
          </w:p>
        </w:tc>
        <w:tc>
          <w:tcPr>
            <w:tcW w:type="dxa" w:w="3800"/>
            <w:shd w:fill="F2F2F2" w:val="clear"/>
          </w:tcPr>
          <w:p>
            <w:r>
              <w:t xml:space="preserve">Measure_List (Measure ID)</w:t>
            </w:r>
          </w:p>
        </w:tc>
        <w:tc>
          <w:tcPr>
            <w:tcW w:type="dxa" w:w="1400"/>
            <w:shd w:fill="F2F2F2" w:val="clear"/>
          </w:tcPr>
          <w:p>
            <w:r>
              <w:t xml:space="preserve">Many to One</w:t>
            </w:r>
          </w:p>
        </w:tc>
      </w:tr>
      <w:tr>
        <w:tc>
          <w:tcPr>
            <w:tcW w:type="dxa" w:w="3800"/>
          </w:tcPr>
          <w:p>
            <w:r>
              <w:t xml:space="preserve">questions (Measure ID)</w:t>
            </w:r>
          </w:p>
        </w:tc>
        <w:tc>
          <w:tcPr>
            <w:tcW w:type="dxa" w:w="3800"/>
          </w:tcPr>
          <w:p>
            <w:r>
              <w:t xml:space="preserve">Measure_List (Measure ID)</w:t>
            </w:r>
          </w:p>
        </w:tc>
        <w:tc>
          <w:tcPr>
            <w:tcW w:type="dxa" w:w="1400"/>
          </w:tcPr>
          <w:p>
            <w:r>
              <w:t xml:space="preserve">Many to One</w:t>
            </w:r>
          </w:p>
        </w:tc>
      </w:tr>
      <w:tr>
        <w:tc>
          <w:tcPr>
            <w:tcW w:type="dxa" w:w="3800"/>
            <w:shd w:fill="F2F2F2" w:val="clear"/>
          </w:tcPr>
          <w:p>
            <w:r>
              <w:t xml:space="preserve">state_results (Measure ID)</w:t>
            </w:r>
          </w:p>
        </w:tc>
        <w:tc>
          <w:tcPr>
            <w:tcW w:type="dxa" w:w="3800"/>
            <w:shd w:fill="F2F2F2" w:val="clear"/>
          </w:tcPr>
          <w:p>
            <w:r>
              <w:t xml:space="preserve">Measure_List (Measure ID)</w:t>
            </w:r>
          </w:p>
        </w:tc>
        <w:tc>
          <w:tcPr>
            <w:tcW w:type="dxa" w:w="1400"/>
            <w:shd w:fill="F2F2F2" w:val="clear"/>
          </w:tcPr>
          <w:p>
            <w:r>
              <w:t xml:space="preserve">Many to One</w:t>
            </w:r>
          </w:p>
        </w:tc>
      </w:tr>
    </w:tbl>
    <w:p>
      <w:pPr>
        <w:spacing w:after="120"/>
      </w:pPr>
      <w:r>
        <w:t xml:space="preserve">All relationships use a single cross-filter direction (dimension filters fact), consistent with standard star-schema design and Power BI best practice.</w:t>
      </w:r>
    </w:p>
    <w:p>
      <w:pPr>
        <w:pStyle w:val="Heading1"/>
        <w:spacing w:after="150" w:before="300"/>
      </w:pPr>
      <w:r>
        <w:t xml:space="preserve">3. Data Cleaning Applied During Modeling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Responses table: 'Not Available' text values in Response Rate (%) and Completed Surveys were replaced with blank (null) using Power Query's Replace Values / Replace Errors, then the Response Rate (%) column was converted to Decimal Number so it could be used in calculations.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Completed Surveys was kept as Text, since its values are participation ranges (e.g., '300 or more', 'Fewer than 100') rather than exact counts.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Column headers for states and Measure_List were corrected using 'Use First Row as Headers', which had initially loaded as generic Column1/Column2/Column3.</w:t>
      </w:r>
    </w:p>
    <w:p>
      <w:pPr>
        <w:pStyle w:val="Heading1"/>
        <w:spacing w:after="150" w:before="300"/>
      </w:pPr>
      <w:r>
        <w:t xml:space="preserve">4. Modeling Decisions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Measure_List was chosen as the table name instead of 'Measures', since 'Measures' is a reserved name in Power BI (used internally for the model-wide measures folder).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 single, centralized star schema was used (rather than separate models per dashboard page) so that all 5 dashboard pages and all DAX measures share one consistent, maintainable model.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2026-08-03T16:42:47.467Z</dcterms:created>
  <dcterms:modified xsi:type="dcterms:W3CDTF">2026-08-03T16:42:47.479Z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