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HCAHPS Patient Experience Analytics</w:t>
      </w:r>
    </w:p>
    <w:p>
      <w:pPr>
        <w:spacing w:after="300"/>
        <w:jc w:val="center"/>
      </w:pPr>
      <w:r>
        <w:rPr>
          <w:color w:val="555555"/>
          <w:sz w:val="26"/>
          <w:szCs w:val="26"/>
        </w:rPr>
        <w:t xml:space="preserve">Deliverable 8: DAX Development</w:t>
      </w:r>
    </w:p>
    <w:p>
      <w:pPr>
        <w:spacing w:after="120"/>
      </w:pPr>
      <w:r>
        <w:t xml:space="preserve">This document lists all 10 DAX measures implemented in the Power BI model, confirming the definitions planned in Deliverable 5 (KPI Definition Document). Two measures were refined during implementation for correctness, as noted below.</w:t>
      </w:r>
    </w:p>
    <w:p>
      <w:pPr>
        <w:spacing w:after="60" w:before="200"/>
      </w:pPr>
      <w:r>
        <w:rPr>
          <w:b/>
          <w:bCs/>
          <w:color w:val="2F5496"/>
          <w:sz w:val="23"/>
          <w:szCs w:val="23"/>
        </w:rPr>
        <w:t xml:space="preserve">National Top-box %</w:t>
      </w:r>
    </w:p>
    <w:p>
      <w:pPr>
        <w:shd w:fill="F2F2F2" w:val="clear"/>
        <w:spacing w:after="60"/>
      </w:pPr>
      <w:r>
        <w:rPr>
          <w:rFonts w:ascii="Consolas" w:cs="Consolas" w:eastAsia="Consolas" w:hAnsi="Consolas"/>
          <w:sz w:val="20"/>
          <w:szCs w:val="20"/>
        </w:rPr>
        <w:t xml:space="preserve">National Top-box % = AVERAGE(national_results[Top-box Percentage])</w:t>
      </w:r>
    </w:p>
    <w:p>
      <w:pPr>
        <w:spacing w:after="60" w:before="200"/>
      </w:pPr>
      <w:r>
        <w:rPr>
          <w:b/>
          <w:bCs/>
          <w:color w:val="2F5496"/>
          <w:sz w:val="23"/>
          <w:szCs w:val="23"/>
        </w:rPr>
        <w:t xml:space="preserve">State Average Top-box %</w:t>
      </w:r>
    </w:p>
    <w:p>
      <w:pPr>
        <w:shd w:fill="F2F2F2" w:val="clear"/>
        <w:spacing w:after="60"/>
      </w:pPr>
      <w:r>
        <w:rPr>
          <w:rFonts w:ascii="Consolas" w:cs="Consolas" w:eastAsia="Consolas" w:hAnsi="Consolas"/>
          <w:sz w:val="20"/>
          <w:szCs w:val="20"/>
        </w:rPr>
        <w:t xml:space="preserve">State Average Top-box % = AVERAGE(state_results[Top-box Percentage])</w:t>
      </w:r>
    </w:p>
    <w:p>
      <w:pPr>
        <w:spacing w:after="60" w:before="200"/>
      </w:pPr>
      <w:r>
        <w:rPr>
          <w:b/>
          <w:bCs/>
          <w:color w:val="2F5496"/>
          <w:sz w:val="23"/>
          <w:szCs w:val="23"/>
        </w:rPr>
        <w:t xml:space="preserve">State Ranking</w:t>
      </w:r>
    </w:p>
    <w:p>
      <w:pPr>
        <w:shd w:fill="F2F2F2" w:val="clear"/>
        <w:spacing w:after="60"/>
      </w:pPr>
      <w:r>
        <w:rPr>
          <w:rFonts w:ascii="Consolas" w:cs="Consolas" w:eastAsia="Consolas" w:hAnsi="Consolas"/>
          <w:sz w:val="20"/>
          <w:szCs w:val="20"/>
        </w:rPr>
        <w:t xml:space="preserve">State Ranking = RANKX(ALL(states), [State Average Top-box %], , DESC)</w:t>
      </w:r>
    </w:p>
    <w:p>
      <w:pPr>
        <w:spacing w:after="150"/>
      </w:pPr>
      <w:r>
        <w:rPr>
          <w:b/>
          <w:bCs/>
        </w:rPr>
        <w:t xml:space="preserve">Note: </w:t>
      </w:r>
      <w:r>
        <w:t xml:space="preserve">Refined during implementation from RANKX(ALL(states[State]), ...) to RANKX(ALL(states), ...). Filtering only the State column left the State Name column context active in the matrix visual, causing every row to rank as 1. Removing the filter on the full states table fixed the ranking so all 51 states are compared correctly.</w:t>
      </w:r>
    </w:p>
    <w:p>
      <w:pPr>
        <w:spacing w:after="60" w:before="200"/>
      </w:pPr>
      <w:r>
        <w:rPr>
          <w:b/>
          <w:bCs/>
          <w:color w:val="2F5496"/>
          <w:sz w:val="23"/>
          <w:szCs w:val="23"/>
        </w:rPr>
        <w:t xml:space="preserve">Regional Ranking</w:t>
      </w:r>
    </w:p>
    <w:p>
      <w:pPr>
        <w:shd w:fill="F2F2F2" w:val="clear"/>
        <w:spacing w:after="60"/>
      </w:pPr>
      <w:r>
        <w:rPr>
          <w:rFonts w:ascii="Consolas" w:cs="Consolas" w:eastAsia="Consolas" w:hAnsi="Consolas"/>
          <w:sz w:val="20"/>
          <w:szCs w:val="20"/>
        </w:rPr>
        <w:t xml:space="preserve">Regional Ranking = RANKX(ALL(states[Region]), [State Average Top-box %], , DESC)</w:t>
      </w:r>
    </w:p>
    <w:p>
      <w:pPr>
        <w:spacing w:after="60" w:before="200"/>
      </w:pPr>
      <w:r>
        <w:rPr>
          <w:b/>
          <w:bCs/>
          <w:color w:val="2F5496"/>
          <w:sz w:val="23"/>
          <w:szCs w:val="23"/>
        </w:rPr>
        <w:t xml:space="preserve">Number of Participating States</w:t>
      </w:r>
    </w:p>
    <w:p>
      <w:pPr>
        <w:shd w:fill="F2F2F2" w:val="clear"/>
        <w:spacing w:after="60"/>
      </w:pPr>
      <w:r>
        <w:rPr>
          <w:rFonts w:ascii="Consolas" w:cs="Consolas" w:eastAsia="Consolas" w:hAnsi="Consolas"/>
          <w:sz w:val="20"/>
          <w:szCs w:val="20"/>
        </w:rPr>
        <w:t xml:space="preserve">Number of Participating States = DISTINCTCOUNT(state_results[State])</w:t>
      </w:r>
    </w:p>
    <w:p>
      <w:pPr>
        <w:spacing w:after="60" w:before="200"/>
      </w:pPr>
      <w:r>
        <w:rPr>
          <w:b/>
          <w:bCs/>
          <w:color w:val="2F5496"/>
          <w:sz w:val="23"/>
          <w:szCs w:val="23"/>
        </w:rPr>
        <w:t xml:space="preserve">Number of Quality Measures</w:t>
      </w:r>
    </w:p>
    <w:p>
      <w:pPr>
        <w:shd w:fill="F2F2F2" w:val="clear"/>
        <w:spacing w:after="60"/>
      </w:pPr>
      <w:r>
        <w:rPr>
          <w:rFonts w:ascii="Consolas" w:cs="Consolas" w:eastAsia="Consolas" w:hAnsi="Consolas"/>
          <w:sz w:val="20"/>
          <w:szCs w:val="20"/>
        </w:rPr>
        <w:t xml:space="preserve">Number of Quality Measures = DISTINCTCOUNT(Measure_List[Measure ID])</w:t>
      </w:r>
    </w:p>
    <w:p>
      <w:pPr>
        <w:spacing w:after="60" w:before="200"/>
      </w:pPr>
      <w:r>
        <w:rPr>
          <w:b/>
          <w:bCs/>
          <w:color w:val="2F5496"/>
          <w:sz w:val="23"/>
          <w:szCs w:val="23"/>
        </w:rPr>
        <w:t xml:space="preserve">Survey Response Rate</w:t>
      </w:r>
    </w:p>
    <w:p>
      <w:pPr>
        <w:shd w:fill="F2F2F2" w:val="clear"/>
        <w:spacing w:after="60"/>
      </w:pPr>
      <w:r>
        <w:rPr>
          <w:rFonts w:ascii="Consolas" w:cs="Consolas" w:eastAsia="Consolas" w:hAnsi="Consolas"/>
          <w:sz w:val="20"/>
          <w:szCs w:val="20"/>
        </w:rPr>
        <w:t xml:space="preserve">Survey Response Rate = AVERAGE(responses[Response Rate (%)])</w:t>
      </w:r>
    </w:p>
    <w:p>
      <w:pPr>
        <w:spacing w:after="60" w:before="200"/>
      </w:pPr>
      <w:r>
        <w:rPr>
          <w:b/>
          <w:bCs/>
          <w:color w:val="2F5496"/>
          <w:sz w:val="23"/>
          <w:szCs w:val="23"/>
        </w:rPr>
        <w:t xml:space="preserve">Highest Performing Measure</w:t>
      </w:r>
    </w:p>
    <w:p>
      <w:pPr>
        <w:shd w:fill="F2F2F2" w:val="clear"/>
        <w:spacing w:after="60"/>
      </w:pPr>
      <w:r>
        <w:rPr>
          <w:rFonts w:ascii="Consolas" w:cs="Consolas" w:eastAsia="Consolas" w:hAnsi="Consolas"/>
          <w:sz w:val="20"/>
          <w:szCs w:val="20"/>
        </w:rPr>
        <w:t xml:space="preserve">Highest Performing Measure =
  VAR MeasureScores =
    ADDCOLUMNS(
      VALUES(Measure_List[Measure]),
      "AvgScore", CALCULATE(AVERAGE(national_results[Top-box Percentage]))
    )
  RETURN
    MAXX(TOPN(1, MeasureScores, [AvgScore], DESC), Measure_List[Measure])</w:t>
      </w:r>
    </w:p>
    <w:p>
      <w:pPr>
        <w:spacing w:after="60" w:before="200"/>
      </w:pPr>
      <w:r>
        <w:rPr>
          <w:b/>
          <w:bCs/>
          <w:color w:val="2F5496"/>
          <w:sz w:val="23"/>
          <w:szCs w:val="23"/>
        </w:rPr>
        <w:t xml:space="preserve">Lowest Performing Measure</w:t>
      </w:r>
    </w:p>
    <w:p>
      <w:pPr>
        <w:shd w:fill="F2F2F2" w:val="clear"/>
        <w:spacing w:after="60"/>
      </w:pPr>
      <w:r>
        <w:rPr>
          <w:rFonts w:ascii="Consolas" w:cs="Consolas" w:eastAsia="Consolas" w:hAnsi="Consolas"/>
          <w:sz w:val="20"/>
          <w:szCs w:val="20"/>
        </w:rPr>
        <w:t xml:space="preserve">Lowest Performing Measure =
  VAR MeasureScores =
    ADDCOLUMNS(
      VALUES(Measure_List[Measure]),
      "AvgScore", CALCULATE(AVERAGE(national_results[Top-box Percentage]))
    )
  RETURN
    MINX(TOPN(1, MeasureScores, [AvgScore], ASC), Measure_List[Measure])</w:t>
      </w:r>
    </w:p>
    <w:p>
      <w:pPr>
        <w:spacing w:after="60" w:before="200"/>
      </w:pPr>
      <w:r>
        <w:rPr>
          <w:b/>
          <w:bCs/>
          <w:color w:val="2F5496"/>
          <w:sz w:val="23"/>
          <w:szCs w:val="23"/>
        </w:rPr>
        <w:t xml:space="preserve">YoY Satisfaction Change</w:t>
      </w:r>
    </w:p>
    <w:p>
      <w:pPr>
        <w:shd w:fill="F2F2F2" w:val="clear"/>
        <w:spacing w:after="60"/>
      </w:pPr>
      <w:r>
        <w:rPr>
          <w:rFonts w:ascii="Consolas" w:cs="Consolas" w:eastAsia="Consolas" w:hAnsi="Consolas"/>
          <w:sz w:val="20"/>
          <w:szCs w:val="20"/>
        </w:rPr>
        <w:t xml:space="preserve">YoY Satisfaction Change = 
  VAR CurrentPeriod = SELECTEDVALUE(reports[Release Period])
  VAR CurrentYear = VALUE(RIGHT(CurrentPeriod, 4))
  VAR PreviousPeriodText = "07_" &amp; (CurrentYear - 1)
  VAR CurrentValue = [State Average Top-box %]
  VAR PreviousValue =
    CALCULATE(
      [State Average Top-box %],
      ALL(reports),
      reports[Release Period] = PreviousPeriodText
    )
  RETURN
    CurrentValue - PreviousValue</w:t>
      </w:r>
    </w:p>
    <w:p>
      <w:pPr>
        <w:spacing w:after="150"/>
      </w:pPr>
      <w:r>
        <w:rPr>
          <w:b/>
          <w:bCs/>
        </w:rPr>
        <w:t xml:space="preserve">Note: </w:t>
      </w:r>
      <w:r>
        <w:t xml:space="preserve">Implemented using a text-based year lookup (extracting and decrementing the year from the Release Period string) instead of standard time-intelligence functions (e.g., DATEADD), because the Reports table could not be marked as a Date Table — it contains only 9 yearly rows with gaps between them, which Power BI's date-table requirement does not allow.</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2026-08-03T16:43:05.366Z</dcterms:created>
  <dcterms:modified xsi:type="dcterms:W3CDTF">2026-08-03T16:43:05.366Z</dcterms:modified>
</cp:coreProperties>
</file>

<file path=docProps/custom.xml><?xml version="1.0" encoding="utf-8"?>
<Properties xmlns="http://schemas.openxmlformats.org/officeDocument/2006/custom-properties" xmlns:vt="http://schemas.openxmlformats.org/officeDocument/2006/docPropsVTypes"/>
</file>