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sz w:val="44"/>
          <w:szCs w:val="44"/>
        </w:rPr>
        <w:t xml:space="preserve">HCAHPS Patient Experience Analytics</w:t>
      </w:r>
    </w:p>
    <w:p>
      <w:pPr>
        <w:spacing w:after="300"/>
        <w:jc w:val="center"/>
      </w:pPr>
      <w:r>
        <w:rPr>
          <w:color w:val="555555"/>
          <w:sz w:val="26"/>
          <w:szCs w:val="26"/>
        </w:rPr>
        <w:t xml:space="preserve">Deliverable 9: Power BI Dashboard Development</w:t>
      </w:r>
    </w:p>
    <w:p>
      <w:pPr>
        <w:spacing w:after="120"/>
      </w:pPr>
      <w:r>
        <w:t xml:space="preserve">This document summarizes the 5 dashboard pages developed in Power BI (4 consolidated pages plus a supplementary Root Cause Analysis page), including the visuals used on each and a screenshot of the final result.</w:t>
      </w:r>
    </w:p>
    <w:p>
      <w:pPr>
        <w:pStyle w:val="Heading1"/>
        <w:spacing w:after="150" w:before="300"/>
      </w:pPr>
      <w:r>
        <w:t xml:space="preserve">Page 1: Executive Overview</w:t>
      </w:r>
    </w:p>
    <w:p>
      <w:pPr>
        <w:spacing w:after="100"/>
      </w:pPr>
      <w:r>
        <w:rPr>
          <w:b/>
          <w:bCs/>
        </w:rPr>
        <w:t xml:space="preserve">Audience: </w:t>
      </w:r>
      <w:r>
        <w:t xml:space="preserve">CEO &amp; Executive Committee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KPI Cards: National Top-box %, Survey Response Rate, Number of Participating States, Number of Quality Measures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Clustered Bar Chart: Top-box % by Region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Line Chart: National Top-box % trend by Release Period (2015-2023)</w:t>
      </w:r>
    </w:p>
    <w:p>
      <w:pPr>
        <w:spacing w:after="200" w:before="150"/>
        <w:jc w:val="center"/>
      </w:pPr>
      <w:r>
        <w:drawing>
          <wp:inline distT="0" distB="0" distL="0" distR="0">
            <wp:extent cx="5715000" cy="32575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150" w:before="300"/>
      </w:pPr>
      <w:r>
        <w:t xml:space="preserve">Page 2: State Performance &amp; Benchmark</w:t>
      </w:r>
    </w:p>
    <w:p>
      <w:pPr>
        <w:spacing w:after="100"/>
      </w:pPr>
      <w:r>
        <w:rPr>
          <w:b/>
          <w:bCs/>
        </w:rPr>
        <w:t xml:space="preserve">Audience: </w:t>
      </w:r>
      <w:r>
        <w:t xml:space="preserve">State Health Administrators, Hospital Accreditation Team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Filled Map: State-wise Top-box % (color gradient)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Matrix Table: State Name, State Ranking (with data bars), State Average Top-box % (with conditional formatting icons)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Bar Chart: State Average Top-box % ranked, all 51 states</w:t>
      </w:r>
    </w:p>
    <w:p>
      <w:pPr>
        <w:spacing w:after="200" w:before="150"/>
        <w:jc w:val="center"/>
      </w:pPr>
      <w:r>
        <w:drawing>
          <wp:inline distT="0" distB="0" distL="0" distR="0">
            <wp:extent cx="5715000" cy="3362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36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150" w:before="300"/>
      </w:pPr>
      <w:r>
        <w:t xml:space="preserve">Page 3: Patient Experience Measures</w:t>
      </w:r>
    </w:p>
    <w:p>
      <w:pPr>
        <w:spacing w:after="100"/>
      </w:pPr>
      <w:r>
        <w:rPr>
          <w:b/>
          <w:bCs/>
        </w:rPr>
        <w:t xml:space="preserve">Audience: </w:t>
      </w:r>
      <w:r>
        <w:t xml:space="preserve">Chief Quality Officer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Bar Chart: National Top-box % ranked by Measure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KPI Cards: Highest Performing Measure, Lowest Performing Measure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Table: Measure-wise National Top-box %, Average Middle-box %, Average Bottom-box %</w:t>
      </w:r>
    </w:p>
    <w:p>
      <w:pPr>
        <w:spacing w:after="200" w:before="150"/>
        <w:jc w:val="center"/>
      </w:pPr>
      <w:r>
        <w:drawing>
          <wp:inline distT="0" distB="0" distL="0" distR="0">
            <wp:extent cx="5715000" cy="32480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150" w:before="300"/>
      </w:pPr>
      <w:r>
        <w:t xml:space="preserve">Page 4: Regional &amp; Trend Analysis</w:t>
      </w:r>
    </w:p>
    <w:p>
      <w:pPr>
        <w:spacing w:after="100"/>
      </w:pPr>
      <w:r>
        <w:rPr>
          <w:b/>
          <w:bCs/>
        </w:rPr>
        <w:t xml:space="preserve">Audience: </w:t>
      </w:r>
      <w:r>
        <w:t xml:space="preserve">Policy Makers, Regional Managers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Bar Chart: Regional Ranking by Region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Line Chart: State Average Top-box % by Release Period and Region (9 regions)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KPI Card: Year-over-Year Satisfaction Change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Navigation Button (bookmark-linked back to Executive Overview)</w:t>
      </w:r>
    </w:p>
    <w:p>
      <w:pPr>
        <w:spacing w:after="200" w:before="150"/>
        <w:jc w:val="center"/>
      </w:pPr>
      <w:r>
        <w:drawing>
          <wp:inline distT="0" distB="0" distL="0" distR="0">
            <wp:extent cx="5715000" cy="3124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150" w:before="300"/>
      </w:pPr>
      <w:r>
        <w:t xml:space="preserve">Page 5: Root Cause Analysis (Supplementary)</w:t>
      </w:r>
    </w:p>
    <w:p>
      <w:pPr>
        <w:spacing w:after="100"/>
      </w:pPr>
      <w:r>
        <w:rPr>
          <w:b/>
          <w:bCs/>
        </w:rPr>
        <w:t xml:space="preserve">Audience: </w:t>
      </w:r>
      <w:r>
        <w:t xml:space="preserve">Chief Quality Officer, Healthcare Analytics Team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Decomposition Tree: National Top-box % broken down interactively by Measure and then by State, supporting root-cause exploration of performance drivers</w:t>
      </w:r>
    </w:p>
    <w:p>
      <w:pPr>
        <w:spacing w:after="200" w:before="150"/>
        <w:jc w:val="center"/>
      </w:pPr>
      <w:r>
        <w:drawing>
          <wp:inline distT="0" distB="0" distL="0" distR="0">
            <wp:extent cx="5715000" cy="32099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f5074e0deae79859ea6ee7c3fcb61374ecdee611.undefined"/><Relationship Id="rId8" Type="http://schemas.openxmlformats.org/officeDocument/2006/relationships/image" Target="media/6f159d6d15813fd832a338d03da859c228710143.undefined"/><Relationship Id="rId9" Type="http://schemas.openxmlformats.org/officeDocument/2006/relationships/image" Target="media/33b7f83b27833f0ef2ed93d3be774e6949fd23bd.undefined"/><Relationship Id="rId10" Type="http://schemas.openxmlformats.org/officeDocument/2006/relationships/image" Target="media/45be88b640c967357762ac4094dab355f6e6eded.undefined"/><Relationship Id="rId11" Type="http://schemas.openxmlformats.org/officeDocument/2006/relationships/image" Target="media/f1102bfc411e54defdeb13b3e62ce8672e418c65.undefined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2026-08-03T16:43:21.213Z</dcterms:created>
  <dcterms:modified xsi:type="dcterms:W3CDTF">2026-08-03T16:43:21.213Z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