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61" w:rsidRPr="00144F53" w:rsidRDefault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http://www.alexhosp.com.sg/</w:t>
        </w:r>
      </w:hyperlink>
    </w:p>
    <w:p w:rsidR="009C0F61" w:rsidRPr="00144F53" w:rsidRDefault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t xml:space="preserve">Alexandra Hospital - the hospital with a personal touch. An acute care general hospital that offers patients the very best in </w:t>
      </w:r>
      <w:proofErr w:type="spellStart"/>
      <w:r w:rsidRPr="00144F53">
        <w:rPr>
          <w:rFonts w:ascii="Arial" w:hAnsi="Arial" w:cs="Arial"/>
          <w:sz w:val="20"/>
          <w:szCs w:val="20"/>
        </w:rPr>
        <w:t>personalised</w:t>
      </w:r>
      <w:proofErr w:type="spellEnd"/>
      <w:r w:rsidRPr="00144F53">
        <w:rPr>
          <w:rFonts w:ascii="Arial" w:hAnsi="Arial" w:cs="Arial"/>
          <w:sz w:val="20"/>
          <w:szCs w:val="20"/>
        </w:rPr>
        <w:t xml:space="preserve"> care, we provide specialist services for the treatment of various conditions. </w:t>
      </w:r>
      <w:r w:rsidRPr="00144F53">
        <w:rPr>
          <w:rFonts w:ascii="Arial" w:hAnsi="Arial" w:cs="Arial"/>
          <w:sz w:val="20"/>
          <w:szCs w:val="20"/>
        </w:rPr>
        <w:br/>
      </w:r>
      <w:r w:rsidRPr="00144F53">
        <w:rPr>
          <w:rFonts w:ascii="Arial" w:hAnsi="Arial" w:cs="Arial"/>
          <w:sz w:val="20"/>
          <w:szCs w:val="20"/>
        </w:rPr>
        <w:br/>
        <w:t>Putting our patients' needs before our own, we are constantly working with partners, volunteers, and most importantly, our patients themselves, to deliver excellent service.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Vision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 xml:space="preserve">Adding years of healthy life to the people of Singapore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Mission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We will improve health and reduce illness through patient-</w:t>
      </w:r>
      <w:proofErr w:type="spellStart"/>
      <w:r w:rsidRPr="00144F53">
        <w:rPr>
          <w:rFonts w:ascii="Arial" w:eastAsia="Times New Roman" w:hAnsi="Arial" w:cs="Arial"/>
          <w:sz w:val="20"/>
          <w:szCs w:val="20"/>
        </w:rPr>
        <w:t>centred</w:t>
      </w:r>
      <w:proofErr w:type="spellEnd"/>
      <w:r w:rsidRPr="00144F53">
        <w:rPr>
          <w:rFonts w:ascii="Arial" w:eastAsia="Times New Roman" w:hAnsi="Arial" w:cs="Arial"/>
          <w:sz w:val="20"/>
          <w:szCs w:val="20"/>
        </w:rPr>
        <w:t xml:space="preserve"> quality healthcare that is Accessible and Seamless; Comprehensive, Appropriate and Cost-Effective; in an environment of continuous learning and relevant research.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Values</w:t>
      </w:r>
    </w:p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Integrity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 xml:space="preserve">We are committed to the highest standards of ethical conduct.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Compassion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 xml:space="preserve">Our paramount concern is the welfare and well-being of our fellow human beings. We </w:t>
      </w:r>
      <w:proofErr w:type="spellStart"/>
      <w:r w:rsidRPr="00144F53">
        <w:rPr>
          <w:rFonts w:ascii="Arial" w:eastAsia="Times New Roman" w:hAnsi="Arial" w:cs="Arial"/>
          <w:sz w:val="20"/>
          <w:szCs w:val="20"/>
        </w:rPr>
        <w:t>sympathise</w:t>
      </w:r>
      <w:proofErr w:type="spellEnd"/>
      <w:r w:rsidRPr="00144F53">
        <w:rPr>
          <w:rFonts w:ascii="Arial" w:eastAsia="Times New Roman" w:hAnsi="Arial" w:cs="Arial"/>
          <w:sz w:val="20"/>
          <w:szCs w:val="20"/>
        </w:rPr>
        <w:t xml:space="preserve"> with those struck by illness and suffering and will do our best to help alleviate their condition.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Cs/>
          <w:kern w:val="36"/>
          <w:sz w:val="20"/>
          <w:szCs w:val="20"/>
        </w:rPr>
        <w:t>Professionalism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 xml:space="preserve">We are committed to being the best in what we do, and to achieving the best possible outcome for our patients.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Cs/>
          <w:kern w:val="36"/>
          <w:sz w:val="20"/>
          <w:szCs w:val="20"/>
        </w:rPr>
        <w:t>Respect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 xml:space="preserve">We treat everyone with honesty, decency and fairness.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Cs/>
          <w:kern w:val="36"/>
          <w:sz w:val="20"/>
          <w:szCs w:val="20"/>
        </w:rPr>
        <w:t>Collegiality</w:t>
      </w:r>
    </w:p>
    <w:p w:rsidR="009C0F61" w:rsidRPr="00144F53" w:rsidRDefault="009C0F61" w:rsidP="009C0F6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 xml:space="preserve">We nurture success by promoting collaboration, participation and trust between individuals within an environment of sharing and mutual respect. </w:t>
      </w:r>
    </w:p>
    <w:p w:rsidR="009C0F61" w:rsidRPr="00144F53" w:rsidRDefault="009C0F61" w:rsidP="009C0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</w:rPr>
      </w:pPr>
      <w:r w:rsidRPr="00144F53">
        <w:rPr>
          <w:rFonts w:ascii="Arial" w:eastAsia="Times New Roman" w:hAnsi="Arial" w:cs="Arial"/>
          <w:bCs/>
          <w:kern w:val="36"/>
          <w:sz w:val="20"/>
          <w:szCs w:val="20"/>
        </w:rPr>
        <w:t>Social Responsibility</w:t>
      </w:r>
    </w:p>
    <w:p w:rsidR="009C0F61" w:rsidRPr="00144F53" w:rsidRDefault="009C0F61" w:rsidP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We contribute positively to the well-being and welfare of the community.</w:t>
      </w:r>
    </w:p>
    <w:p w:rsidR="009C0F61" w:rsidRPr="00144F53" w:rsidRDefault="009C0F61" w:rsidP="009C0F61">
      <w:pPr>
        <w:spacing w:after="240"/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lastRenderedPageBreak/>
        <w:t>For international patients:</w:t>
      </w:r>
      <w:r w:rsidRPr="00144F53">
        <w:rPr>
          <w:rFonts w:ascii="Arial" w:hAnsi="Arial" w:cs="Arial"/>
          <w:sz w:val="20"/>
          <w:szCs w:val="20"/>
        </w:rPr>
        <w:t xml:space="preserve"> As an international patient, your care is facilitated from the moment you contact us about your treatment. High quality and personalized services complement medical care and assure a comfortable stay for all patients and families.</w:t>
      </w:r>
    </w:p>
    <w:p w:rsidR="009C0F61" w:rsidRPr="00144F53" w:rsidRDefault="009C0F61" w:rsidP="009C0F61">
      <w:pPr>
        <w:spacing w:after="240"/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br/>
      </w:r>
      <w:r w:rsidRPr="00144F53">
        <w:rPr>
          <w:rFonts w:ascii="Arial" w:hAnsi="Arial" w:cs="Arial"/>
          <w:sz w:val="20"/>
          <w:szCs w:val="20"/>
        </w:rPr>
        <w:br/>
        <w:t>Simply drop us an email or give us a call to allow us to help you plan your entire journey.</w:t>
      </w:r>
    </w:p>
    <w:tbl>
      <w:tblPr>
        <w:tblW w:w="475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31"/>
        <w:gridCol w:w="8102"/>
      </w:tblGrid>
      <w:tr w:rsidR="009C0F61" w:rsidRPr="00144F53" w:rsidTr="009C0F61">
        <w:trPr>
          <w:tblCellSpacing w:w="7" w:type="dxa"/>
        </w:trPr>
        <w:tc>
          <w:tcPr>
            <w:tcW w:w="500" w:type="pct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4500" w:type="pct"/>
            <w:vAlign w:val="center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 xml:space="preserve">International Patient Services </w:t>
            </w:r>
            <w:r w:rsidRPr="00144F53">
              <w:rPr>
                <w:rFonts w:ascii="Arial" w:hAnsi="Arial" w:cs="Arial"/>
                <w:sz w:val="20"/>
                <w:szCs w:val="20"/>
              </w:rPr>
              <w:br/>
              <w:t xml:space="preserve">Alexandra Hospital </w:t>
            </w:r>
            <w:r w:rsidRPr="00144F53">
              <w:rPr>
                <w:rFonts w:ascii="Arial" w:hAnsi="Arial" w:cs="Arial"/>
                <w:sz w:val="20"/>
                <w:szCs w:val="20"/>
              </w:rPr>
              <w:br/>
              <w:t xml:space="preserve">378, Alexandra Road </w:t>
            </w:r>
            <w:r w:rsidRPr="00144F53">
              <w:rPr>
                <w:rFonts w:ascii="Arial" w:hAnsi="Arial" w:cs="Arial"/>
                <w:sz w:val="20"/>
                <w:szCs w:val="20"/>
              </w:rPr>
              <w:br/>
              <w:t>Singapore 159964</w:t>
            </w:r>
          </w:p>
        </w:tc>
      </w:tr>
      <w:tr w:rsidR="009C0F61" w:rsidRPr="00144F53" w:rsidTr="009C0F61">
        <w:trPr>
          <w:tblCellSpacing w:w="7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Tel:</w:t>
            </w:r>
          </w:p>
        </w:tc>
        <w:tc>
          <w:tcPr>
            <w:tcW w:w="0" w:type="auto"/>
            <w:vAlign w:val="center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 xml:space="preserve">6476 8828 </w:t>
            </w:r>
            <w:r w:rsidRPr="00144F53">
              <w:rPr>
                <w:rFonts w:ascii="Arial" w:hAnsi="Arial" w:cs="Arial"/>
                <w:sz w:val="20"/>
                <w:szCs w:val="20"/>
              </w:rPr>
              <w:br/>
              <w:t xml:space="preserve">(Operating hours: Monday to Friday: 8am to 5.30pm; </w:t>
            </w:r>
            <w:r w:rsidRPr="00144F53">
              <w:rPr>
                <w:rFonts w:ascii="Arial" w:hAnsi="Arial" w:cs="Arial"/>
                <w:sz w:val="20"/>
                <w:szCs w:val="20"/>
              </w:rPr>
              <w:br/>
              <w:t xml:space="preserve">Sat: 8am to 12.30pm ) </w:t>
            </w:r>
          </w:p>
        </w:tc>
      </w:tr>
      <w:tr w:rsidR="009C0F61" w:rsidRPr="00144F53" w:rsidTr="009C0F61">
        <w:trPr>
          <w:tblCellSpacing w:w="7" w:type="dxa"/>
        </w:trPr>
        <w:tc>
          <w:tcPr>
            <w:tcW w:w="0" w:type="auto"/>
            <w:vAlign w:val="center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6379 5348</w:t>
            </w:r>
          </w:p>
        </w:tc>
      </w:tr>
      <w:tr w:rsidR="009C0F61" w:rsidRPr="00144F53" w:rsidTr="009C0F61">
        <w:trPr>
          <w:tblCellSpacing w:w="7" w:type="dxa"/>
        </w:trPr>
        <w:tc>
          <w:tcPr>
            <w:tcW w:w="0" w:type="auto"/>
            <w:vAlign w:val="center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0" w:type="auto"/>
            <w:vAlign w:val="center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144F5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IPS@alexhosp.com.sg</w:t>
              </w:r>
            </w:hyperlink>
          </w:p>
        </w:tc>
      </w:tr>
    </w:tbl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9C0F61" w:rsidRPr="00144F53" w:rsidRDefault="009C0F61" w:rsidP="009C0F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proofErr w:type="spellStart"/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Anaesthesia</w:t>
        </w:r>
        <w:proofErr w:type="spellEnd"/>
      </w:hyperlink>
    </w:p>
    <w:p w:rsidR="009C0F61" w:rsidRPr="00144F53" w:rsidRDefault="009C0F61" w:rsidP="009C0F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Cardiology</w:t>
        </w:r>
      </w:hyperlink>
    </w:p>
    <w:p w:rsidR="009C0F61" w:rsidRPr="00144F53" w:rsidRDefault="009C0F61" w:rsidP="009C0F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Day Surgery Centre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Dental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Diabetes Centre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Diagnostic Radiology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3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Emergency Medicine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4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Endoscopy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5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General Medicine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6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General Surgery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7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Geriatric Medicine</w:t>
        </w:r>
      </w:hyperlink>
    </w:p>
    <w:p w:rsidR="009C0F61" w:rsidRPr="00144F53" w:rsidRDefault="009C0F61" w:rsidP="009C0F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8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Health for Life Centre</w:t>
        </w:r>
      </w:hyperlink>
    </w:p>
    <w:p w:rsidR="009C0F61" w:rsidRPr="00144F53" w:rsidRDefault="009C0F61" w:rsidP="009C0F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9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Medical Social Service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0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Nursing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1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Nutrition and Dietetics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2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Occupational Therapy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3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Ophthalmology and Visual Sciences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4" w:history="1">
        <w:proofErr w:type="spellStart"/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  <w:proofErr w:type="spellEnd"/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5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Otolaryngology, Head &amp; Neck Surgery (ENT)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6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Pharmacy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7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Physiotherapy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8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Podiatry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9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Psychiatry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0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Rehabilitation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1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Renal Medicine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2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Respiratory Medicine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3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Rheumatology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4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Speech Therapy</w:t>
        </w:r>
      </w:hyperlink>
    </w:p>
    <w:p w:rsidR="009C0F61" w:rsidRPr="00144F53" w:rsidRDefault="009C0F61" w:rsidP="009C0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5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Sports Medicine</w:t>
        </w:r>
      </w:hyperlink>
    </w:p>
    <w:p w:rsidR="009C0F61" w:rsidRPr="00144F53" w:rsidRDefault="009C0F61" w:rsidP="009C0F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36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Urology</w:t>
        </w:r>
      </w:hyperlink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credentials:</w:t>
      </w:r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</w:rPr>
        <w:t xml:space="preserve">Doctors in </w:t>
      </w:r>
      <w:proofErr w:type="spellStart"/>
      <w:r w:rsidRPr="00144F53">
        <w:rPr>
          <w:rFonts w:ascii="Arial" w:hAnsi="Arial" w:cs="Arial"/>
          <w:b/>
          <w:sz w:val="20"/>
          <w:szCs w:val="20"/>
        </w:rPr>
        <w:t>Anaesthesia</w:t>
      </w:r>
      <w:proofErr w:type="spellEnd"/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8" name="picture" descr="http://www.alexhosp.com.sg/uploads/doctors/11/AProfKohKwongF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1/AProfKohKwongF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Associate Professor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Koh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Kwong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Fah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Head of Department / 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Neuroanaesthesia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Liver Transplant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English, Malay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Associate Professor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Koh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Kwong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Fah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received his training at the National University of Singapore. He trained as a fellow in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Neuroanaesthesia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at the National Hospital for Neurology and Neurosurgery in London, as well as Liver Transplant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at King's College, London.</w:t>
            </w:r>
          </w:p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His area of research is in airway management and bariatric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. He had served as President of the Singapore Society 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Anaesthesiologist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as well as Chairman of the Chapter 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, Academy of Medicine Singapore.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9" name="picture" descr="http://www.alexhosp.com.sg/uploads/doctors/264/Lim%20Kim%20Seo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64/Lim%20Kim%20Seo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Lim Kim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Seong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FANZCA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Clinical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10" name="picture" descr="http://www.alexhosp.com.sg/uploads/doctors/13/DrLowTutCho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3/DrLowTutCh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Low Tut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Choon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Clinical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Anaesthesia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, Pain Management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Low is a senior consultant in the Department 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. His special interests are in regional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and pain management.</w:t>
            </w:r>
          </w:p>
        </w:tc>
      </w:tr>
    </w:tbl>
    <w:p w:rsidR="009C0F61" w:rsidRPr="00144F53" w:rsidRDefault="009C0F61">
      <w:pPr>
        <w:rPr>
          <w:rFonts w:ascii="Arial" w:hAnsi="Arial" w:cs="Arial"/>
          <w:sz w:val="20"/>
          <w:szCs w:val="20"/>
        </w:rPr>
      </w:pPr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dental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14" name="picture" descr="http://www.alexhosp.com.sg/uploads/doctors/26/DrWuLooChe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6/DrWuLooChe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Wu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Loo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Cheng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Head of Department / 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Dental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BDS, MDS,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Dental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Oral and Maxillofacial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Dr. Wu is a Senior Consultant and Head of Dental Services. She has more than 25 years experience in Oral and Maxillofacial Surgery.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95425"/>
                  <wp:effectExtent l="19050" t="0" r="0" b="0"/>
                  <wp:docPr id="15" name="picture" descr="http://www.alexhosp.com.sg/uploads/doctors/27/LOW%20HUEY%20MOON%20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7/LOW%20HUEY%20MOON%20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Low Huey Moon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Dental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BDS,MDS,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Dental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Oral Maxillofacial Prosthetics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Low Huey Moon is a Senior Consultant,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specialised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in the area of denture, implant and maxillofacial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prosthodontics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inclusive of artificial eye reconstruction.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838200"/>
                  <wp:effectExtent l="19050" t="0" r="0" b="0"/>
                  <wp:docPr id="16" name="picture" descr="http://www.alexhosp.com.sg/uploads/doctors/28/Dr%20Vivien%20Tan%20Hui%20Ling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8/Dr%20Vivien%20Tan%20Hui%20Ling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Tan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Ling Vivien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Dental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BDS, MDS (Oral Surgery), Cert. Orthodontics (Oregon),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Dental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Orthodontics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>
      <w:pPr>
        <w:rPr>
          <w:rFonts w:ascii="Arial" w:hAnsi="Arial" w:cs="Arial"/>
          <w:sz w:val="20"/>
          <w:szCs w:val="20"/>
        </w:rPr>
      </w:pPr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endocrinology</w:t>
      </w:r>
    </w:p>
    <w:tbl>
      <w:tblPr>
        <w:tblW w:w="101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62"/>
        <w:gridCol w:w="5063"/>
      </w:tblGrid>
      <w:tr w:rsidR="009C0F61" w:rsidRPr="00144F53" w:rsidTr="009C0F61">
        <w:trPr>
          <w:tblCellSpacing w:w="0" w:type="dxa"/>
        </w:trPr>
        <w:tc>
          <w:tcPr>
            <w:tcW w:w="2500" w:type="pct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hideMark/>
          </w:tcPr>
          <w:p w:rsidR="009C0F61" w:rsidRPr="00144F53" w:rsidRDefault="009C0F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C0F61" w:rsidRPr="00144F53" w:rsidRDefault="009C0F61" w:rsidP="009C0F61">
      <w:pPr>
        <w:pStyle w:val="NormalWeb"/>
        <w:jc w:val="right"/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21" name="picture" descr="http://www.alexhosp.com.sg/uploads/doctors/252/Prof%20Ra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52/Prof%20Ra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Associate Professor C 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Rajasoorya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 Med), FAMS, FRCP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Lond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), FRCP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), FACE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 xml:space="preserve">Associate Professor </w:t>
            </w:r>
            <w:proofErr w:type="spellStart"/>
            <w:r w:rsidRPr="00144F53">
              <w:rPr>
                <w:rFonts w:ascii="Arial" w:hAnsi="Arial" w:cs="Arial"/>
                <w:sz w:val="20"/>
                <w:szCs w:val="20"/>
              </w:rPr>
              <w:t>Rajasoorya</w:t>
            </w:r>
            <w:proofErr w:type="spellEnd"/>
            <w:r w:rsidRPr="00144F53">
              <w:rPr>
                <w:rFonts w:ascii="Arial" w:hAnsi="Arial" w:cs="Arial"/>
                <w:sz w:val="20"/>
                <w:szCs w:val="20"/>
              </w:rPr>
              <w:t xml:space="preserve"> is a Senior Consultant in Endocrinology and Internal Medicine. His sub interests are in pituitary adrenal disorders as well as endocrine causes of hypertension. Dr. </w:t>
            </w:r>
            <w:proofErr w:type="spellStart"/>
            <w:r w:rsidRPr="00144F53">
              <w:rPr>
                <w:rFonts w:ascii="Arial" w:hAnsi="Arial" w:cs="Arial"/>
                <w:sz w:val="20"/>
                <w:szCs w:val="20"/>
              </w:rPr>
              <w:t>Rajasoorya</w:t>
            </w:r>
            <w:proofErr w:type="spellEnd"/>
            <w:r w:rsidRPr="00144F53">
              <w:rPr>
                <w:rFonts w:ascii="Arial" w:hAnsi="Arial" w:cs="Arial"/>
                <w:sz w:val="20"/>
                <w:szCs w:val="20"/>
              </w:rPr>
              <w:t xml:space="preserve"> was a Health Manpower Development Plan (HMDP) Fellow at the University of Auckland Department of Endocrinology as well as a Visiting HMDP Clinician at the Mayo Clinic (Rochester), University of Virginia and University of Oregon in the United States. He is a fellow of the Royal College of Physicians of London and Edinburgh.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rPr>
          <w:rFonts w:ascii="Arial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685925"/>
                  <wp:effectExtent l="19050" t="0" r="0" b="0"/>
                  <wp:docPr id="22" name="picture" descr="http://www.alexhosp.com.sg/uploads/doctors/325/AProfSumCheeFang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25/AProfSumCheeFang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Associate Professor Sum 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Chee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 Fang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), FRCPI, FRCP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), FACE,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 xml:space="preserve">Associate Professor Sum </w:t>
            </w:r>
            <w:proofErr w:type="spellStart"/>
            <w:r w:rsidRPr="00144F53">
              <w:rPr>
                <w:rFonts w:ascii="Arial" w:hAnsi="Arial" w:cs="Arial"/>
                <w:sz w:val="20"/>
                <w:szCs w:val="20"/>
              </w:rPr>
              <w:t>Chee</w:t>
            </w:r>
            <w:proofErr w:type="spellEnd"/>
            <w:r w:rsidRPr="00144F53">
              <w:rPr>
                <w:rFonts w:ascii="Arial" w:hAnsi="Arial" w:cs="Arial"/>
                <w:sz w:val="20"/>
                <w:szCs w:val="20"/>
              </w:rPr>
              <w:t xml:space="preserve"> Fang is Senior Consultant Endocrinologist in the Department of Medicine, Alexandra Hospital, and Director of Diabetes Centre. His interests include diabetes and metabolic disorders.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rPr>
          <w:rFonts w:ascii="Arial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23" name="picture" descr="http://www.alexhosp.com.sg/uploads/doctors/253/Prof%20Lim%20Su%20C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53/Prof%20Lim%20Su%20C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Adjunct Associate Professor Lim Su Chi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MBBS, MRCP (</w:t>
                  </w:r>
                  <w:proofErr w:type="spellStart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  <w:proofErr w:type="spellEnd"/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 xml:space="preserve"> Med) (UK), FRCPE,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Endocrinology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Diabetes Centre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Style w:val="subtextblueunbold"/>
                      <w:rFonts w:ascii="Arial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hAnsi="Arial" w:cs="Arial"/>
                      <w:sz w:val="20"/>
                      <w:szCs w:val="20"/>
                    </w:rPr>
                    <w:t>English, Mandarin</w:t>
                  </w:r>
                </w:p>
              </w:tc>
            </w:tr>
          </w:tbl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 xml:space="preserve">Dr. Lim Su Chi is a Senior Consultant Endocrinologist at the Alexandra Hospital and Adjunct Associate Professor at the Faculty of Community, Occupational and Family Medicine, National University of Singapore. His other responsibilities and appointments include: Deputy Director of Diabetes Centre and Clinical Director of Clinical Research Unit at Alexandra Hospital. Dr. Lim also sits on the Ministry of </w:t>
            </w:r>
            <w:proofErr w:type="spellStart"/>
            <w:r w:rsidRPr="00144F53">
              <w:rPr>
                <w:rFonts w:ascii="Arial" w:hAnsi="Arial" w:cs="Arial"/>
                <w:sz w:val="20"/>
                <w:szCs w:val="20"/>
              </w:rPr>
              <w:t>Health</w:t>
            </w:r>
            <w:proofErr w:type="gramStart"/>
            <w:r w:rsidRPr="00144F53">
              <w:rPr>
                <w:rFonts w:ascii="Arial" w:hAnsi="Arial" w:cs="Arial"/>
                <w:sz w:val="20"/>
                <w:szCs w:val="20"/>
              </w:rPr>
              <w:t>?s</w:t>
            </w:r>
            <w:proofErr w:type="spellEnd"/>
            <w:proofErr w:type="gramEnd"/>
            <w:r w:rsidRPr="00144F53">
              <w:rPr>
                <w:rFonts w:ascii="Arial" w:hAnsi="Arial" w:cs="Arial"/>
                <w:sz w:val="20"/>
                <w:szCs w:val="20"/>
              </w:rPr>
              <w:t xml:space="preserve"> Guidelines Development Committee for Management of Diabetes Mellitus. Dr. Lim has published in peer-reviewed medical journals including Diabetes Care, Journal of Clinical Endocrinology and Metabolism and International Journal of Obesity and Related Metabolism Disorders, Diabetic Medicine and Diabetes, Obesity &amp; Metabolism. His present research interests include endothelial function in diabetes mellitus and diabetic nephropathy.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>
            <w:pPr>
              <w:rPr>
                <w:rFonts w:ascii="Arial" w:hAnsi="Arial" w:cs="Arial"/>
                <w:sz w:val="20"/>
                <w:szCs w:val="20"/>
              </w:rPr>
            </w:pPr>
            <w:r w:rsidRPr="00144F5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General surgery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28" name="picture" descr="http://www.alexhosp.com.sg/uploads/doctors/163/DrKennethMakSeckW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63/DrKennethMakSeckW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Associate Professor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Mak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Seck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Wai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Kenneth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Head of Department / 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General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Glasg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Surg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FICS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General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Hepatobiliary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&amp; Pancreatic Surgery, Trauma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A/Prof Kenneth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Mak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Head and Consultant, Department of General Surgery, Alexandra Hospital. A/Prof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Mak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a fellow of the Royal Colleges of Surgeons in Edinburgh and Glasgow. His subspecialty interests include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hepatobiliary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and pancreatic surgery, surgical critical care and trauma. A/Prof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Mak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a Deputy Chairman of the Medical Board at Alexandra Hospital and concurrently Medical Director for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Jurong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Medical Centre.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29" name="picture" descr="http://www.alexhosp.com.sg/uploads/doctors/164/DrAntonChengKuiS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64/DrAntonChengKuiS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Cheng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Kui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-Sing Anton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General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(Hong Kong),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FRACS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General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Laparoscopic Surgery, Laparoscopic Bariatric Surgery, Colorectal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Anton Cheng is a Consultant in Department of General Surgery, Alexandra Hospital. As the Deputy Director of the hospital's Weight Management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Programme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, he is involved in bariatric surgery and has an interest in advance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laparosocpic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surgery.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30" name="picture" descr="http://www.alexhosp.com.sg/uploads/doctors/166/DrTanEeLeeDani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66/DrTanEeLeeDani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Tan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Lee Daniel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General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M'sia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General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Hepatobiliary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&amp; Pancreatic Surgery, Endocrine Surgery, Laparoscopic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Daniel Tan is a Senior Consultant in Department of General Surgery, Alexandra Hospital. His areas of interest include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Hepatobiliary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and Pancreatic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sugery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(main subspecialty), Laparoscopic surgery and Surgical Endoscopy. He also does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oesophageal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, gastric surgery and endocrine surgery.</w:t>
            </w:r>
          </w:p>
        </w:tc>
      </w:tr>
    </w:tbl>
    <w:p w:rsidR="009C0F61" w:rsidRPr="00144F53" w:rsidRDefault="009C0F61">
      <w:pPr>
        <w:rPr>
          <w:rFonts w:ascii="Arial" w:hAnsi="Arial" w:cs="Arial"/>
          <w:sz w:val="20"/>
          <w:szCs w:val="20"/>
        </w:rPr>
      </w:pPr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ENT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123950" cy="1400175"/>
                  <wp:effectExtent l="19050" t="0" r="0" b="0"/>
                  <wp:docPr id="34" name="picture" descr="http://www.alexhosp.com.sg/uploads/doctors/97/DrPaulMokKanHwe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97/DrPaulMokKanHwe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Mok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Kan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Hwei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Paul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Head of Department / 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Otolaryngology, Head &amp; Neck Surgery (ENT)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Glasg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Otolaryngology, Head &amp; Neck Surgery (ENT)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Voice and Swallowing Disorders, Sleep Apnea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Paul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Mok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currently the Head of the Otolaryngology Head and Neck Surgery service at Alexandra Hospital. He is a visiting consultant at the National University Hospital and Tan Tock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Seng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Hospital. Dr.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Mok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graduated from the National University of Singapore in 1991. He obtained his post-graduate degree in ENT surgery from the Royal College of Surgeons and Physicians in Glasgow in 1997. In 2001, Dr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Mok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spent a year at the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Grabscheid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Voice Center, Mt Sinai Hospital, New York doing a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Laryngology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Fellowship. In addition to treating patients with general ENT conditions, his main sub-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speciality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interests are in Voice, Swallowing Disorders and Obstructive Sleep Apnea. Dr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Mok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an invited speaker in regional and overseas meetings.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28750"/>
                  <wp:effectExtent l="19050" t="0" r="0" b="0"/>
                  <wp:docPr id="35" name="picture" descr="http://www.alexhosp.com.sg/uploads/doctors/99/Dr%20David%20Loke%20-%20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99/Dr%20David%20Loke%20-%20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Loke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Kok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Teik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David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Otolaryngology, Head &amp; Neck Surgery (ENT)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MBChb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(Sheffield), MRCS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Otolaryngology, Head &amp; Neck Surgery (ENT)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Rhinology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838200"/>
                  <wp:effectExtent l="19050" t="0" r="0" b="0"/>
                  <wp:docPr id="36" name="picture" descr="http://www.alexhosp.com.sg/uploads/doctors/291/Dr%20Ranjini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91/Dr%20Ranjini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Ranjini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Karumathil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Sivasankaran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Nair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Resident Physician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Otolaryngology, Head &amp; Neck Surgery (ENT)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Otolaryngology, Head &amp; Neck Surgery (ENT)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English, Tamil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urology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123950" cy="1400175"/>
                  <wp:effectExtent l="19050" t="0" r="0" b="0"/>
                  <wp:docPr id="40" name="picture" descr="http://www.alexhosp.com.sg/uploads/doctors/378/DrLimTowPo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78/DrLimTowPo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Lim Tow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Poh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Consultant in-charge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Urological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Lim Tow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Poh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a consultant urologist in Alexandra Hospital. His area of interest includes general urology, urinary stones, prostate diseases and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uro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-oncology. His HMDP training in urology include attachment to the North Middlesex Hospital in London and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Mansoura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Urology and Nephrology Centre in Egypt.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28750"/>
                  <wp:effectExtent l="19050" t="0" r="0" b="0"/>
                  <wp:docPr id="41" name="picture" descr="http://www.alexhosp.com.sg/uploads/doctors/379/DrOngChin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79/DrOngChinH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Ong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Chin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Associate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(New South Wales), MRCS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(Gen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Surg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85900"/>
                  <wp:effectExtent l="19050" t="0" r="0" b="0"/>
                  <wp:docPr id="42" name="picture" descr="http://www.alexhosp.com.sg/uploads/doctors/380/Dr%20Gurmit%20Sing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80/Dr%20Gurmit%20Sing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Gurmit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Singh S/O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Baldir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Singh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Registrar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(Gen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Surg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Urology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C0F61" w:rsidRPr="00144F53" w:rsidRDefault="009C0F61">
      <w:pPr>
        <w:rPr>
          <w:rFonts w:ascii="Arial" w:hAnsi="Arial" w:cs="Arial"/>
          <w:sz w:val="20"/>
          <w:szCs w:val="20"/>
        </w:rPr>
      </w:pPr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cardiology: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123950" cy="1400175"/>
                  <wp:effectExtent l="19050" t="0" r="0" b="0"/>
                  <wp:docPr id="46" name="picture" descr="http://www.alexhosp.com.sg/uploads/doctors/249/Dr%20Ong%20Hean%20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249/Dr%20Ong%20Hean%20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Ong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Hean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Yee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MBChB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BAO (Queen's U of Belfast), MRCP (UK),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ASCeXAM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Cardiology, Cardiac Imaging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838200"/>
                  <wp:effectExtent l="19050" t="0" r="0" b="0"/>
                  <wp:docPr id="47" name="picture" descr="http://www.alexhosp.com.sg/uploads/doctors/313/Dr%20ERIC%20Chong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13/Dr%20ERIC%20Chong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Chong Yu Eric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Associate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MRCP (UK),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76375"/>
                  <wp:effectExtent l="19050" t="0" r="0" b="0"/>
                  <wp:docPr id="48" name="picture" descr="http://www.alexhosp.com.sg/uploads/doctors/312/Dr%20Devinder%20Singh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12/Dr%20Devinder%20Singh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Devinder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Singh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Registrar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Gauhati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MD, MRCP (UK)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Cardiology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Cadiology</w:t>
                  </w:r>
                  <w:proofErr w:type="spellEnd"/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orthopedic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52" name="picture" descr="http://www.alexhosp.com.sg/uploads/doctors/108/DrChinThaimW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08/DrChinThaimW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Chin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Thaim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Wai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Head of Department / 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Glasg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Joint Replacement Surgery, 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Chin, an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establised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surgeon is currently the Head and Senior Consultant in the Department 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orthopaedics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, Alexandra Hospital. His special interest is in the field of adult reconstruction or joint replacement surgery having obtained training in Royal London Hospital in 1995 and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Karolinska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Institute in Sweden in 2004. His other </w:t>
            </w:r>
            <w:proofErr w:type="gram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subspecialty include</w:t>
            </w:r>
            <w:proofErr w:type="gram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sports injuries. He is also a Senior Clinical Lecturer in the National University of Singapore and a Visiting Consultant to KK Women and Children Hospital.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400175"/>
                  <wp:effectExtent l="19050" t="0" r="0" b="0"/>
                  <wp:docPr id="53" name="picture" descr="http://www.alexhosp.com.sg/uploads/doctors/109/DrLimSweeL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09/DrLimSweeL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Lim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Swee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Lian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Glasg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FAMS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Trauma, Spine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Dr. Lim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Swee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Lian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a Senior Consultant and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surgeon at Alexandra Hospital. He previously headed the A&amp;E department at TTSH and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Department in Alexandra Hospital before stepping down on 30 Sept 2002. His area of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subspeciality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is in fracture management, as well as uncomplicated hand and spine surgery. His vast experience comes from having worked and trained at specialist </w:t>
            </w:r>
            <w:proofErr w:type="spellStart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>centres</w:t>
            </w:r>
            <w:proofErr w:type="spellEnd"/>
            <w:r w:rsidRPr="00144F53">
              <w:rPr>
                <w:rFonts w:ascii="Arial" w:eastAsia="Times New Roman" w:hAnsi="Arial" w:cs="Arial"/>
                <w:sz w:val="20"/>
                <w:szCs w:val="20"/>
              </w:rPr>
              <w:t xml:space="preserve"> worldwide including centre in Australia, Switzerland, U.K. and U.S.A. Dr. Lim has been conducting courses on operative fracture management in more than 10 cities in China since 1991.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1685925"/>
                  <wp:effectExtent l="19050" t="0" r="0" b="0"/>
                  <wp:docPr id="54" name="picture" descr="http://www.alexhosp.com.sg/uploads/doctors/112/DrWongLeeYuen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112/DrWongLeeYuen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Wong Lee Yuen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FRCS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Surg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FRCSOrth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Upper Limb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C0F61" w:rsidRPr="00144F53" w:rsidRDefault="009C0F61">
      <w:pPr>
        <w:rPr>
          <w:rFonts w:ascii="Arial" w:hAnsi="Arial" w:cs="Arial"/>
          <w:sz w:val="20"/>
          <w:szCs w:val="20"/>
        </w:rPr>
      </w:pPr>
    </w:p>
    <w:p w:rsidR="009C0F61" w:rsidRPr="00144F53" w:rsidRDefault="009C0F61">
      <w:pPr>
        <w:rPr>
          <w:rFonts w:ascii="Arial" w:hAnsi="Arial" w:cs="Arial"/>
          <w:b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Doctors in sports medicine</w:t>
      </w:r>
    </w:p>
    <w:p w:rsidR="009C0F61" w:rsidRPr="00144F53" w:rsidRDefault="009C0F61" w:rsidP="009C0F6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144F53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123950" cy="838200"/>
                  <wp:effectExtent l="19050" t="0" r="0" b="0"/>
                  <wp:docPr id="58" name="picture" descr="http://www.alexhosp.com.sg/uploads/doctors/342/Teoh%20Chin%20Sim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42/Teoh%20Chin%20Sim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Teoh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Chin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Sim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Director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S'pore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MSS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Hons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GDAcu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GcertSPNutr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, GDBA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838200"/>
                  <wp:effectExtent l="19050" t="0" r="0" b="0"/>
                  <wp:docPr id="59" name="picture" descr="http://www.alexhosp.com.sg/uploads/doctors/343/Michael%20Soon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43/Michael%20Soon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Soon Yee Hong Michael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Consultant &amp; Deputy Director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MBBS, MRCS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 (Ortho)(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Edin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FRCSEd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(Ortho)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C0F61" w:rsidRPr="00144F53" w:rsidRDefault="009C0F61" w:rsidP="009C0F6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195"/>
        <w:gridCol w:w="7365"/>
      </w:tblGrid>
      <w:tr w:rsidR="009C0F61" w:rsidRPr="00144F53" w:rsidTr="009C0F61">
        <w:trPr>
          <w:tblCellSpacing w:w="0" w:type="dxa"/>
        </w:trPr>
        <w:tc>
          <w:tcPr>
            <w:tcW w:w="1680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23950" cy="838200"/>
                  <wp:effectExtent l="19050" t="0" r="0" b="0"/>
                  <wp:docPr id="60" name="picture" descr="http://www.alexhosp.com.sg/uploads/doctors/341/Teh%20Kong%20Chuan-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alexhosp.com.sg/uploads/doctors/341/Teh%20Kong%20Chuan-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" w:type="dxa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6"/>
              <w:gridCol w:w="147"/>
              <w:gridCol w:w="4272"/>
            </w:tblGrid>
            <w:tr w:rsidR="009C0F61" w:rsidRPr="00144F53">
              <w:trPr>
                <w:tblCellSpacing w:w="0" w:type="dxa"/>
              </w:trPr>
              <w:tc>
                <w:tcPr>
                  <w:tcW w:w="20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900" w:type="pct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Teh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Kong Chuan 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Senior Consultant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Other Job Title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Medical Specialty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MBBS (Spore), MS (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SpMed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Sports Medicine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Sub Specialty/Interest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Orthopaedic</w:t>
                  </w:r>
                  <w:proofErr w:type="spellEnd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Surgery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Medical </w:t>
                  </w:r>
                  <w:proofErr w:type="spellStart"/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Centres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9C0F61" w:rsidRPr="00144F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Language Spoken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C0F61" w:rsidRPr="00144F53" w:rsidRDefault="009C0F61" w:rsidP="009C0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44F53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</w:t>
                  </w:r>
                </w:p>
              </w:tc>
            </w:tr>
          </w:tbl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C0F61" w:rsidRPr="00144F53" w:rsidTr="009C0F61">
        <w:trPr>
          <w:tblCellSpacing w:w="0" w:type="dxa"/>
        </w:trPr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C0F61" w:rsidRPr="00144F53" w:rsidRDefault="009C0F61" w:rsidP="009C0F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4F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144F53" w:rsidRDefault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b/>
          <w:sz w:val="20"/>
          <w:szCs w:val="20"/>
          <w:highlight w:val="yellow"/>
        </w:rPr>
        <w:t>Contact us</w:t>
      </w:r>
      <w:r w:rsidRPr="00144F53">
        <w:rPr>
          <w:rFonts w:ascii="Arial" w:hAnsi="Arial" w:cs="Arial"/>
          <w:sz w:val="20"/>
          <w:szCs w:val="20"/>
        </w:rPr>
        <w:t xml:space="preserve">: </w:t>
      </w:r>
    </w:p>
    <w:p w:rsidR="00144F53" w:rsidRDefault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t xml:space="preserve">Alexandra Hospital </w:t>
      </w:r>
      <w:r w:rsidRPr="00144F53">
        <w:rPr>
          <w:rFonts w:ascii="Arial" w:hAnsi="Arial" w:cs="Arial"/>
          <w:sz w:val="20"/>
          <w:szCs w:val="20"/>
        </w:rPr>
        <w:br/>
        <w:t xml:space="preserve">378 Alexandra Road </w:t>
      </w:r>
      <w:r w:rsidRPr="00144F53">
        <w:rPr>
          <w:rFonts w:ascii="Arial" w:hAnsi="Arial" w:cs="Arial"/>
          <w:sz w:val="20"/>
          <w:szCs w:val="20"/>
        </w:rPr>
        <w:br/>
        <w:t>Singapore 159964</w:t>
      </w:r>
      <w:r w:rsidR="00144F53" w:rsidRPr="00144F53">
        <w:rPr>
          <w:rFonts w:ascii="Arial" w:hAnsi="Arial" w:cs="Arial"/>
          <w:sz w:val="20"/>
          <w:szCs w:val="20"/>
        </w:rPr>
        <w:t xml:space="preserve"> </w:t>
      </w:r>
    </w:p>
    <w:p w:rsidR="00144F53" w:rsidRDefault="00144F53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t xml:space="preserve">Phone number: </w:t>
      </w:r>
      <w:r w:rsidR="009C0F61" w:rsidRPr="00144F53">
        <w:rPr>
          <w:rFonts w:ascii="Arial" w:hAnsi="Arial" w:cs="Arial"/>
          <w:sz w:val="20"/>
          <w:szCs w:val="20"/>
        </w:rPr>
        <w:t xml:space="preserve">6472 2000, </w:t>
      </w:r>
    </w:p>
    <w:p w:rsidR="009C0F61" w:rsidRPr="00144F53" w:rsidRDefault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t>General fax 6379 3880</w:t>
      </w:r>
    </w:p>
    <w:p w:rsidR="009C0F61" w:rsidRPr="00144F53" w:rsidRDefault="009C0F61">
      <w:pPr>
        <w:rPr>
          <w:rFonts w:ascii="Arial" w:hAnsi="Arial" w:cs="Arial"/>
          <w:sz w:val="20"/>
          <w:szCs w:val="20"/>
        </w:rPr>
      </w:pPr>
      <w:r w:rsidRPr="00144F53">
        <w:rPr>
          <w:rFonts w:ascii="Arial" w:hAnsi="Arial" w:cs="Arial"/>
          <w:sz w:val="20"/>
          <w:szCs w:val="20"/>
        </w:rPr>
        <w:t>International Patient Services 6476 8828</w:t>
      </w:r>
      <w:r w:rsidRPr="00144F53">
        <w:rPr>
          <w:rFonts w:ascii="Arial" w:hAnsi="Arial" w:cs="Arial"/>
          <w:sz w:val="20"/>
          <w:szCs w:val="20"/>
        </w:rPr>
        <w:br/>
      </w:r>
      <w:hyperlink r:id="rId64" w:history="1">
        <w:r w:rsidRPr="00144F53">
          <w:rPr>
            <w:rStyle w:val="Hyperlink"/>
            <w:rFonts w:ascii="Arial" w:hAnsi="Arial" w:cs="Arial"/>
            <w:color w:val="auto"/>
            <w:sz w:val="20"/>
            <w:szCs w:val="20"/>
          </w:rPr>
          <w:t>IPS@alexhosp.com.sg</w:t>
        </w:r>
      </w:hyperlink>
    </w:p>
    <w:p w:rsidR="009C0F61" w:rsidRPr="00144F53" w:rsidRDefault="009C0F61">
      <w:pPr>
        <w:rPr>
          <w:rFonts w:ascii="Arial" w:hAnsi="Arial" w:cs="Arial"/>
          <w:sz w:val="20"/>
          <w:szCs w:val="20"/>
        </w:rPr>
      </w:pPr>
    </w:p>
    <w:sectPr w:rsidR="009C0F61" w:rsidRPr="0014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2F89"/>
    <w:multiLevelType w:val="multilevel"/>
    <w:tmpl w:val="994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91E88"/>
    <w:multiLevelType w:val="multilevel"/>
    <w:tmpl w:val="F0FE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B787E"/>
    <w:multiLevelType w:val="multilevel"/>
    <w:tmpl w:val="B85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A7CBB"/>
    <w:multiLevelType w:val="hybridMultilevel"/>
    <w:tmpl w:val="9072C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B4A57"/>
    <w:multiLevelType w:val="multilevel"/>
    <w:tmpl w:val="4EDC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4575C"/>
    <w:multiLevelType w:val="multilevel"/>
    <w:tmpl w:val="499E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A679BC"/>
    <w:multiLevelType w:val="multilevel"/>
    <w:tmpl w:val="D81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57FD6"/>
    <w:multiLevelType w:val="multilevel"/>
    <w:tmpl w:val="140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72276"/>
    <w:multiLevelType w:val="multilevel"/>
    <w:tmpl w:val="8F0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0F61"/>
    <w:rsid w:val="00144F53"/>
    <w:rsid w:val="009C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F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F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C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extblueunbold">
    <w:name w:val="sub_textblue_unbold"/>
    <w:basedOn w:val="DefaultParagraphFont"/>
    <w:rsid w:val="009C0F61"/>
  </w:style>
  <w:style w:type="paragraph" w:styleId="BalloonText">
    <w:name w:val="Balloon Text"/>
    <w:basedOn w:val="Normal"/>
    <w:link w:val="BalloonTextChar"/>
    <w:uiPriority w:val="99"/>
    <w:semiHidden/>
    <w:unhideWhenUsed/>
    <w:rsid w:val="009C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exhosp.com.sg/index.php/services/detail/14" TargetMode="External"/><Relationship Id="rId18" Type="http://schemas.openxmlformats.org/officeDocument/2006/relationships/hyperlink" Target="http://www.alexhosp.com.sg/index.php/services/detail/21" TargetMode="External"/><Relationship Id="rId26" Type="http://schemas.openxmlformats.org/officeDocument/2006/relationships/hyperlink" Target="http://www.alexhosp.com.sg/index.php/services/detail/30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://www.alexhosp.com.sg/index.php/services/detail/24" TargetMode="External"/><Relationship Id="rId34" Type="http://schemas.openxmlformats.org/officeDocument/2006/relationships/hyperlink" Target="http://www.alexhosp.com.sg/index.php/services/detail/37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image" Target="media/image19.jpeg"/><Relationship Id="rId63" Type="http://schemas.openxmlformats.org/officeDocument/2006/relationships/image" Target="media/image27.jpeg"/><Relationship Id="rId7" Type="http://schemas.openxmlformats.org/officeDocument/2006/relationships/hyperlink" Target="http://www.alexhosp.com.sg/index.php/services/detail/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exhosp.com.sg/index.php/services/detail/18" TargetMode="External"/><Relationship Id="rId20" Type="http://schemas.openxmlformats.org/officeDocument/2006/relationships/hyperlink" Target="http://www.alexhosp.com.sg/index.php/services/detail/23" TargetMode="External"/><Relationship Id="rId29" Type="http://schemas.openxmlformats.org/officeDocument/2006/relationships/hyperlink" Target="http://www.alexhosp.com.sg/index.php/services/detail/32" TargetMode="External"/><Relationship Id="rId41" Type="http://schemas.openxmlformats.org/officeDocument/2006/relationships/image" Target="media/image5.jpeg"/><Relationship Id="rId54" Type="http://schemas.openxmlformats.org/officeDocument/2006/relationships/image" Target="media/image18.jpeg"/><Relationship Id="rId62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hyperlink" Target="mailto:IPS@alexhosp.com.sg" TargetMode="External"/><Relationship Id="rId11" Type="http://schemas.openxmlformats.org/officeDocument/2006/relationships/hyperlink" Target="http://www.alexhosp.com.sg/index.php/services/detail/40" TargetMode="External"/><Relationship Id="rId24" Type="http://schemas.openxmlformats.org/officeDocument/2006/relationships/hyperlink" Target="http://www.alexhosp.com.sg/index.php/services/detail/27" TargetMode="External"/><Relationship Id="rId32" Type="http://schemas.openxmlformats.org/officeDocument/2006/relationships/hyperlink" Target="http://www.alexhosp.com.sg/index.php/services/detail/35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3" Type="http://schemas.openxmlformats.org/officeDocument/2006/relationships/image" Target="media/image17.jpeg"/><Relationship Id="rId58" Type="http://schemas.openxmlformats.org/officeDocument/2006/relationships/image" Target="media/image22.jpeg"/><Relationship Id="rId66" Type="http://schemas.openxmlformats.org/officeDocument/2006/relationships/theme" Target="theme/theme1.xml"/><Relationship Id="rId5" Type="http://schemas.openxmlformats.org/officeDocument/2006/relationships/hyperlink" Target="http://www.alexhosp.com.sg/" TargetMode="External"/><Relationship Id="rId15" Type="http://schemas.openxmlformats.org/officeDocument/2006/relationships/hyperlink" Target="http://www.alexhosp.com.sg/index.php/services/detail/41" TargetMode="External"/><Relationship Id="rId23" Type="http://schemas.openxmlformats.org/officeDocument/2006/relationships/hyperlink" Target="http://www.alexhosp.com.sg/index.php/services/detail/26" TargetMode="External"/><Relationship Id="rId28" Type="http://schemas.openxmlformats.org/officeDocument/2006/relationships/hyperlink" Target="http://www.alexhosp.com.sg/index.php/services/detail/31" TargetMode="External"/><Relationship Id="rId36" Type="http://schemas.openxmlformats.org/officeDocument/2006/relationships/hyperlink" Target="http://www.alexhosp.com.sg/index.php/services/detail/39" TargetMode="External"/><Relationship Id="rId49" Type="http://schemas.openxmlformats.org/officeDocument/2006/relationships/image" Target="media/image13.jpeg"/><Relationship Id="rId57" Type="http://schemas.openxmlformats.org/officeDocument/2006/relationships/image" Target="media/image21.jpeg"/><Relationship Id="rId61" Type="http://schemas.openxmlformats.org/officeDocument/2006/relationships/image" Target="media/image25.jpeg"/><Relationship Id="rId10" Type="http://schemas.openxmlformats.org/officeDocument/2006/relationships/hyperlink" Target="http://www.alexhosp.com.sg/index.php/services/detail/9" TargetMode="External"/><Relationship Id="rId19" Type="http://schemas.openxmlformats.org/officeDocument/2006/relationships/hyperlink" Target="http://www.alexhosp.com.sg/index.php/services/detail/22" TargetMode="External"/><Relationship Id="rId31" Type="http://schemas.openxmlformats.org/officeDocument/2006/relationships/hyperlink" Target="http://www.alexhosp.com.sg/index.php/services/detail/45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6.jpeg"/><Relationship Id="rId60" Type="http://schemas.openxmlformats.org/officeDocument/2006/relationships/image" Target="media/image24.jpe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exhosp.com.sg/index.php/services/detail/13" TargetMode="External"/><Relationship Id="rId14" Type="http://schemas.openxmlformats.org/officeDocument/2006/relationships/hyperlink" Target="http://www.alexhosp.com.sg/index.php/services/detail/16" TargetMode="External"/><Relationship Id="rId22" Type="http://schemas.openxmlformats.org/officeDocument/2006/relationships/hyperlink" Target="http://www.alexhosp.com.sg/index.php/services/detail/25" TargetMode="External"/><Relationship Id="rId27" Type="http://schemas.openxmlformats.org/officeDocument/2006/relationships/hyperlink" Target="http://www.alexhosp.com.sg/index.php/services/detail/28" TargetMode="External"/><Relationship Id="rId30" Type="http://schemas.openxmlformats.org/officeDocument/2006/relationships/hyperlink" Target="http://www.alexhosp.com.sg/index.php/services/detail/34" TargetMode="External"/><Relationship Id="rId35" Type="http://schemas.openxmlformats.org/officeDocument/2006/relationships/hyperlink" Target="http://www.alexhosp.com.sg/index.php/services/detail/38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jpeg"/><Relationship Id="rId56" Type="http://schemas.openxmlformats.org/officeDocument/2006/relationships/image" Target="media/image20.jpeg"/><Relationship Id="rId64" Type="http://schemas.openxmlformats.org/officeDocument/2006/relationships/hyperlink" Target="mailto:IPS@alexhosp.com.sg" TargetMode="External"/><Relationship Id="rId8" Type="http://schemas.openxmlformats.org/officeDocument/2006/relationships/hyperlink" Target="http://www.alexhosp.com.sg/index.php/services/detail/11" TargetMode="External"/><Relationship Id="rId51" Type="http://schemas.openxmlformats.org/officeDocument/2006/relationships/image" Target="media/image15.jpeg"/><Relationship Id="rId3" Type="http://schemas.openxmlformats.org/officeDocument/2006/relationships/settings" Target="settings.xml"/><Relationship Id="rId12" Type="http://schemas.openxmlformats.org/officeDocument/2006/relationships/hyperlink" Target="http://www.alexhosp.com.sg/index.php/services/detail/33" TargetMode="External"/><Relationship Id="rId17" Type="http://schemas.openxmlformats.org/officeDocument/2006/relationships/hyperlink" Target="http://www.alexhosp.com.sg/index.php/services/detail/20" TargetMode="External"/><Relationship Id="rId25" Type="http://schemas.openxmlformats.org/officeDocument/2006/relationships/hyperlink" Target="http://www.alexhosp.com.sg/index.php/services/detail/29" TargetMode="External"/><Relationship Id="rId33" Type="http://schemas.openxmlformats.org/officeDocument/2006/relationships/hyperlink" Target="http://www.alexhosp.com.sg/index.php/services/detail/36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59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2994</Words>
  <Characters>17068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2009-11-19T10:10:00Z</dcterms:created>
  <dcterms:modified xsi:type="dcterms:W3CDTF">2009-11-19T10:26:00Z</dcterms:modified>
</cp:coreProperties>
</file>