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72"/>
          <w:szCs w:val="72"/>
        </w:rPr>
        <w:t xml:space="preserve">failSafe</w:t>
      </w:r>
    </w:p>
    <w:p>
      <w:pPr>
        <w:spacing w:after="60" w:before="0"/>
        <w:jc w:val="center"/>
      </w:pPr>
      <w:r>
        <w:rPr>
          <w:rFonts w:ascii="Arial" w:cs="Arial" w:eastAsia="Arial" w:hAnsi="Arial"/>
          <w:color w:val="2E75B6"/>
          <w:sz w:val="30"/>
          <w:szCs w:val="30"/>
        </w:rPr>
        <w:t xml:space="preserve">Student Failure Prediction System</w:t>
      </w:r>
    </w:p>
    <w:p>
      <w:pPr>
        <w:spacing w:after="480" w:before="0"/>
        <w:jc w:val="center"/>
      </w:pPr>
      <w:r>
        <w:rPr>
          <w:rFonts w:ascii="Arial" w:cs="Arial" w:eastAsia="Arial" w:hAnsi="Arial"/>
          <w:i/>
          <w:iCs/>
          <w:color w:val="595959"/>
          <w:sz w:val="22"/>
          <w:szCs w:val="22"/>
        </w:rPr>
        <w:t xml:space="preserve">Project Report  |  2025–2026</w:t>
      </w:r>
    </w:p>
    <w:p>
      <w:pPr>
        <w:pStyle w:val="Heading1"/>
        <w:pBdr>
          <w:bottom w:val="single" w:color="2E75B6" w:sz="8" w:space="6"/>
        </w:pBdr>
        <w:spacing w:after="120" w:before="320"/>
      </w:pPr>
      <w:r>
        <w:rPr>
          <w:rFonts w:ascii="Arial" w:cs="Arial" w:eastAsia="Arial" w:hAnsi="Arial"/>
          <w:b/>
          <w:bCs/>
          <w:color w:val="1F4E79"/>
          <w:sz w:val="32"/>
          <w:szCs w:val="32"/>
        </w:rPr>
        <w:t xml:space="preserve">1. Project Overview</w:t>
      </w:r>
    </w:p>
    <w:p>
      <w:pPr>
        <w:spacing w:after="60" w:before="60"/>
      </w:pPr>
      <w:r>
        <w:rPr>
          <w:rFonts w:ascii="Arial" w:cs="Arial" w:eastAsia="Arial" w:hAnsi="Arial"/>
          <w:color w:val="595959"/>
          <w:sz w:val="22"/>
          <w:szCs w:val="22"/>
        </w:rPr>
        <w:t xml:space="preserve">failSafe is a full-stack web application that predicts student academic failure before end-of-semester results, giving faculty the window they need to intervene. The system takes in routine data — mid-term grades, attendance, study habits, and behavioural signals — and produces a real-time risk probability for every student, alongside a transparent explanation of why that score was assigned and a personalised action plan.</w:t>
      </w:r>
    </w:p>
    <w:p>
      <w:pPr>
        <w:spacing w:after="40" w:before="0"/>
      </w:pPr>
      <w:r>
        <w:rPr>
          <w:rFonts w:ascii="Arial" w:cs="Arial" w:eastAsia="Arial" w:hAnsi="Arial"/>
          <w:sz w:val="22"/>
          <w:szCs w:val="22"/>
        </w:rPr>
        <w:t xml:space="preserve"/>
      </w:r>
    </w:p>
    <w:p>
      <w:pPr>
        <w:spacing w:after="60" w:before="60"/>
      </w:pPr>
      <w:r>
        <w:rPr>
          <w:rFonts w:ascii="Arial" w:cs="Arial" w:eastAsia="Arial" w:hAnsi="Arial"/>
          <w:i/>
          <w:iCs/>
          <w:color w:val="595959"/>
          <w:sz w:val="22"/>
          <w:szCs w:val="22"/>
        </w:rPr>
        <w:t xml:space="preserve">The problem this addresses is straightforward: in most institutions, failure is only visible after it has happened. failSafe shifts the detection point to mid-semester, when interventions are still effective.</w:t>
      </w:r>
    </w:p>
    <w:p>
      <w:pPr>
        <w:spacing w:after="4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1.1 Goals</w:t>
      </w:r>
    </w:p>
    <w:p>
      <w:pPr>
        <w:pStyle w:val="ListParagraph"/>
        <w:numPr>
          <w:ilvl w:val="0"/>
          <w:numId w:val="2"/>
        </w:numPr>
        <w:spacing w:after="40" w:before="40"/>
      </w:pPr>
      <w:r>
        <w:rPr>
          <w:rFonts w:ascii="Arial" w:cs="Arial" w:eastAsia="Arial" w:hAnsi="Arial"/>
          <w:color w:val="595959"/>
          <w:sz w:val="22"/>
          <w:szCs w:val="22"/>
        </w:rPr>
        <w:t xml:space="preserve">Predict at-risk students early using attendance, assignments, and mid-semester grades — not final results.</w:t>
      </w:r>
    </w:p>
    <w:p>
      <w:pPr>
        <w:pStyle w:val="ListParagraph"/>
        <w:numPr>
          <w:ilvl w:val="0"/>
          <w:numId w:val="2"/>
        </w:numPr>
        <w:spacing w:after="40" w:before="40"/>
      </w:pPr>
      <w:r>
        <w:rPr>
          <w:rFonts w:ascii="Arial" w:cs="Arial" w:eastAsia="Arial" w:hAnsi="Arial"/>
          <w:color w:val="595959"/>
          <w:sz w:val="22"/>
          <w:szCs w:val="22"/>
        </w:rPr>
        <w:t xml:space="preserve">Use SHAP (SHapley Additive exPlanations) to explain each prediction so non-technical faculty can trust and act on them.</w:t>
      </w:r>
    </w:p>
    <w:p>
      <w:pPr>
        <w:pStyle w:val="ListParagraph"/>
        <w:numPr>
          <w:ilvl w:val="0"/>
          <w:numId w:val="2"/>
        </w:numPr>
        <w:spacing w:after="40" w:before="40"/>
      </w:pPr>
      <w:r>
        <w:rPr>
          <w:rFonts w:ascii="Arial" w:cs="Arial" w:eastAsia="Arial" w:hAnsi="Arial"/>
          <w:color w:val="595959"/>
          <w:sz w:val="22"/>
          <w:szCs w:val="22"/>
        </w:rPr>
        <w:t xml:space="preserve">Auto-generate personalised intervention plans — counselling referrals, study plans, wellness checks — per flagged student.</w:t>
      </w:r>
    </w:p>
    <w:p>
      <w:pPr>
        <w:pStyle w:val="ListParagraph"/>
        <w:numPr>
          <w:ilvl w:val="0"/>
          <w:numId w:val="2"/>
        </w:numPr>
        <w:spacing w:after="40" w:before="40"/>
      </w:pPr>
      <w:r>
        <w:rPr>
          <w:rFonts w:ascii="Arial" w:cs="Arial" w:eastAsia="Arial" w:hAnsi="Arial"/>
          <w:color w:val="595959"/>
          <w:sz w:val="22"/>
          <w:szCs w:val="22"/>
        </w:rPr>
        <w:t xml:space="preserve">Provide a dashboard for faculty and HODs to track risk trends and monitor improvement over the semester.</w:t>
      </w:r>
    </w:p>
    <w:p>
      <w:pPr>
        <w:spacing w:after="4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1.2 Tech Stack</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648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Technologies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Machine Learning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Python, XGBoost, scikit-learn, SHAP, SMOTE, Pandas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Backend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FastAPI, SQLAlchemy, SQLite / PostgreSQL, JWT Auth</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Frontend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React.js, HTML/CSS, Axios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Data</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UCI Student Performance Dataset (Math + Portuguese)</w:t>
            </w:r>
          </w:p>
        </w:tc>
      </w:tr>
    </w:tbl>
    <w:p>
      <w:pPr>
        <w:spacing w:after="80" w:before="0"/>
      </w:pPr>
      <w:r>
        <w:rPr>
          <w:rFonts w:ascii="Arial" w:cs="Arial" w:eastAsia="Arial" w:hAnsi="Arial"/>
          <w:sz w:val="22"/>
          <w:szCs w:val="22"/>
        </w:rPr>
        <w:t xml:space="preserve"/>
      </w:r>
    </w:p>
    <w:p>
      <w:pPr>
        <w:pStyle w:val="Heading1"/>
        <w:pBdr>
          <w:bottom w:val="single" w:color="2E75B6" w:sz="8" w:space="6"/>
        </w:pBdr>
        <w:spacing w:after="120" w:before="320"/>
      </w:pPr>
      <w:r>
        <w:rPr>
          <w:rFonts w:ascii="Arial" w:cs="Arial" w:eastAsia="Arial" w:hAnsi="Arial"/>
          <w:b/>
          <w:bCs/>
          <w:color w:val="1F4E79"/>
          <w:sz w:val="32"/>
          <w:szCs w:val="32"/>
        </w:rPr>
        <w:t xml:space="preserve">2. Dataset &amp; Exploratory Data Analysis</w:t>
      </w:r>
    </w:p>
    <w:p>
      <w:pPr>
        <w:spacing w:after="60" w:before="60"/>
      </w:pPr>
      <w:r>
        <w:rPr>
          <w:rFonts w:ascii="Arial" w:cs="Arial" w:eastAsia="Arial" w:hAnsi="Arial"/>
          <w:color w:val="595959"/>
          <w:sz w:val="22"/>
          <w:szCs w:val="22"/>
        </w:rPr>
        <w:t xml:space="preserve">The UCI Student Performance dataset covers two subjects — Mathematics (395 students) and Portuguese (649 students) — across 33 features each. The features span demographics, family background, social habits, study behaviour, and three period grades (G1, G2, G3). The datasets are clean: zero missing values in either file.</w:t>
      </w:r>
    </w:p>
    <w:p>
      <w:pPr>
        <w:spacing w:after="4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2.1 Target Variable</w:t>
      </w:r>
    </w:p>
    <w:p>
      <w:pPr>
        <w:spacing w:after="60" w:before="60"/>
      </w:pPr>
      <w:r>
        <w:rPr>
          <w:rFonts w:ascii="Arial" w:cs="Arial" w:eastAsia="Arial" w:hAnsi="Arial"/>
          <w:color w:val="595959"/>
          <w:sz w:val="22"/>
          <w:szCs w:val="22"/>
        </w:rPr>
        <w:t xml:space="preserve">A student is labelled at-risk if their final grade G3 &lt; 10 (out of 20). This threshold reflects the standard passing mark and is applied consistently across both subjects. Students with G3 = 0 are included in the at-risk group, as they are likely dropouts or absent from the final exam.</w:t>
      </w:r>
    </w:p>
    <w:p>
      <w:pPr>
        <w:spacing w:after="40" w:before="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Subject</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At-Risk (G3 &lt; 10)</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Safe (G3 ≥ 10)</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Math</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0000"/>
                <w:sz w:val="20"/>
                <w:szCs w:val="20"/>
              </w:rPr>
              <w:t xml:space="preserve">130  (32.9%)</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265  (67.1%)</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Portuguese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0000"/>
                <w:sz w:val="20"/>
                <w:szCs w:val="20"/>
              </w:rPr>
              <w:t xml:space="preserve">100  (15.4%)</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549  (84.6%)</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Combined (deduplicated)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0000"/>
                <w:sz w:val="20"/>
                <w:szCs w:val="20"/>
              </w:rPr>
              <w:t xml:space="preserve">230  (22.0%)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814  (78.0%)</w:t>
            </w:r>
          </w:p>
        </w:tc>
      </w:tr>
    </w:tbl>
    <w:p>
      <w:pPr>
        <w:spacing w:after="4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2.2 Key EDA Findings</w:t>
      </w:r>
    </w:p>
    <w:p>
      <w:pPr>
        <w:pStyle w:val="ListParagraph"/>
        <w:numPr>
          <w:ilvl w:val="0"/>
          <w:numId w:val="2"/>
        </w:numPr>
        <w:spacing w:after="40" w:before="40"/>
      </w:pPr>
      <w:r>
        <w:rPr>
          <w:rFonts w:ascii="Arial" w:cs="Arial" w:eastAsia="Arial" w:hAnsi="Arial"/>
          <w:color w:val="595959"/>
          <w:sz w:val="22"/>
          <w:szCs w:val="22"/>
        </w:rPr>
        <w:t xml:space="preserve">Grade trajectory: At-risk students show consistently declining grades from G1 → G2 → G3, while safe students remain stable or improve. The divergence is visible from the first period grade, making G1 and G2 strong early predictors.</w:t>
      </w:r>
    </w:p>
    <w:p>
      <w:pPr>
        <w:pStyle w:val="ListParagraph"/>
        <w:numPr>
          <w:ilvl w:val="0"/>
          <w:numId w:val="2"/>
        </w:numPr>
        <w:spacing w:after="40" w:before="40"/>
      </w:pPr>
      <w:r>
        <w:rPr>
          <w:rFonts w:ascii="Arial" w:cs="Arial" w:eastAsia="Arial" w:hAnsi="Arial"/>
          <w:color w:val="595959"/>
          <w:sz w:val="22"/>
          <w:szCs w:val="22"/>
        </w:rPr>
        <w:t xml:space="preserve">G3 distribution: The Math dataset shows a notable spike at G3 = 0 (38 students), indicating dropout or non-attendance at the final exam — a clear at-risk signal.</w:t>
      </w:r>
    </w:p>
    <w:p>
      <w:pPr>
        <w:pStyle w:val="ListParagraph"/>
        <w:numPr>
          <w:ilvl w:val="0"/>
          <w:numId w:val="2"/>
        </w:numPr>
        <w:spacing w:after="40" w:before="40"/>
      </w:pPr>
      <w:r>
        <w:rPr>
          <w:rFonts w:ascii="Arial" w:cs="Arial" w:eastAsia="Arial" w:hAnsi="Arial"/>
          <w:color w:val="595959"/>
          <w:sz w:val="22"/>
          <w:szCs w:val="22"/>
        </w:rPr>
        <w:t xml:space="preserve">Average final grade: Math mean G3 = 10.42 (median 11); Portuguese mean G3 = 11.91 (median 12). Portuguese students are less likely to fail on average.</w:t>
      </w:r>
    </w:p>
    <w:p>
      <w:pPr>
        <w:pStyle w:val="ListParagraph"/>
        <w:numPr>
          <w:ilvl w:val="0"/>
          <w:numId w:val="2"/>
        </w:numPr>
        <w:spacing w:after="40" w:before="40"/>
      </w:pPr>
      <w:r>
        <w:rPr>
          <w:rFonts w:ascii="Arial" w:cs="Arial" w:eastAsia="Arial" w:hAnsi="Arial"/>
          <w:color w:val="595959"/>
          <w:sz w:val="22"/>
          <w:szCs w:val="22"/>
        </w:rPr>
        <w:t xml:space="preserve">Class imbalance: The 22% at-risk rate in the combined dataset requires careful handling to prevent the model from simply predicting 'safe' for everyone.</w:t>
      </w:r>
    </w:p>
    <w:p>
      <w:pPr>
        <w:spacing w:after="80" w:before="0"/>
      </w:pPr>
      <w:r>
        <w:rPr>
          <w:rFonts w:ascii="Arial" w:cs="Arial" w:eastAsia="Arial" w:hAnsi="Arial"/>
          <w:sz w:val="22"/>
          <w:szCs w:val="22"/>
        </w:rPr>
        <w:t xml:space="preserve"/>
      </w:r>
    </w:p>
    <w:p>
      <w:pPr>
        <w:pStyle w:val="Heading1"/>
        <w:pBdr>
          <w:bottom w:val="single" w:color="2E75B6" w:sz="8" w:space="6"/>
        </w:pBdr>
        <w:spacing w:after="120" w:before="320"/>
      </w:pPr>
      <w:r>
        <w:rPr>
          <w:rFonts w:ascii="Arial" w:cs="Arial" w:eastAsia="Arial" w:hAnsi="Arial"/>
          <w:b/>
          <w:bCs/>
          <w:color w:val="1F4E79"/>
          <w:sz w:val="32"/>
          <w:szCs w:val="32"/>
        </w:rPr>
        <w:t xml:space="preserve">3. Model Training Approach</w:t>
      </w:r>
    </w:p>
    <w:p>
      <w:pPr>
        <w:pStyle w:val="Heading2"/>
        <w:spacing w:after="80" w:before="240"/>
      </w:pPr>
      <w:r>
        <w:rPr>
          <w:rFonts w:ascii="Arial" w:cs="Arial" w:eastAsia="Arial" w:hAnsi="Arial"/>
          <w:b/>
          <w:bCs/>
          <w:color w:val="2E75B6"/>
          <w:sz w:val="26"/>
          <w:szCs w:val="26"/>
        </w:rPr>
        <w:t xml:space="preserve">3.1 Feature Engineering</w:t>
      </w:r>
    </w:p>
    <w:p>
      <w:pPr>
        <w:spacing w:after="60" w:before="60"/>
      </w:pPr>
      <w:r>
        <w:rPr>
          <w:rFonts w:ascii="Arial" w:cs="Arial" w:eastAsia="Arial" w:hAnsi="Arial"/>
          <w:color w:val="595959"/>
          <w:sz w:val="22"/>
          <w:szCs w:val="22"/>
        </w:rPr>
        <w:t xml:space="preserve">Three additional features were derived from the raw data to give the model richer signals:</w:t>
      </w:r>
    </w:p>
    <w:p>
      <w:pPr>
        <w:pStyle w:val="ListParagraph"/>
        <w:numPr>
          <w:ilvl w:val="0"/>
          <w:numId w:val="2"/>
        </w:numPr>
        <w:spacing w:after="40" w:before="40"/>
      </w:pPr>
      <w:r>
        <w:rPr>
          <w:rFonts w:ascii="Arial" w:cs="Arial" w:eastAsia="Arial" w:hAnsi="Arial"/>
          <w:color w:val="595959"/>
          <w:sz w:val="22"/>
          <w:szCs w:val="22"/>
        </w:rPr>
        <w:t xml:space="preserve">total_alcohol — sum of weekday (Dalc) and weekend (Walc) alcohol consumption, range 2–10.</w:t>
      </w:r>
    </w:p>
    <w:p>
      <w:pPr>
        <w:pStyle w:val="ListParagraph"/>
        <w:numPr>
          <w:ilvl w:val="0"/>
          <w:numId w:val="2"/>
        </w:numPr>
        <w:spacing w:after="40" w:before="40"/>
      </w:pPr>
      <w:r>
        <w:rPr>
          <w:rFonts w:ascii="Arial" w:cs="Arial" w:eastAsia="Arial" w:hAnsi="Arial"/>
          <w:color w:val="595959"/>
          <w:sz w:val="22"/>
          <w:szCs w:val="22"/>
        </w:rPr>
        <w:t xml:space="preserve">grade_trend — difference G2 − G1, capturing whether a student is improving (401 students) or declining (337 students) mid-semester.</w:t>
      </w:r>
    </w:p>
    <w:p>
      <w:pPr>
        <w:pStyle w:val="ListParagraph"/>
        <w:numPr>
          <w:ilvl w:val="0"/>
          <w:numId w:val="2"/>
        </w:numPr>
        <w:spacing w:after="40" w:before="40"/>
      </w:pPr>
      <w:r>
        <w:rPr>
          <w:rFonts w:ascii="Arial" w:cs="Arial" w:eastAsia="Arial" w:hAnsi="Arial"/>
          <w:color w:val="595959"/>
          <w:sz w:val="22"/>
          <w:szCs w:val="22"/>
        </w:rPr>
        <w:t xml:space="preserve">study_efficiency — G1 divided by (study time + 1), measuring grade output per unit of study effort. Mean = 4.01.</w:t>
      </w:r>
    </w:p>
    <w:p>
      <w:pPr>
        <w:spacing w:after="40" w:before="0"/>
      </w:pPr>
      <w:r>
        <w:rPr>
          <w:rFonts w:ascii="Arial" w:cs="Arial" w:eastAsia="Arial" w:hAnsi="Arial"/>
          <w:sz w:val="22"/>
          <w:szCs w:val="22"/>
        </w:rPr>
        <w:t xml:space="preserve"/>
      </w:r>
    </w:p>
    <w:p>
      <w:pPr>
        <w:spacing w:after="60" w:before="60"/>
      </w:pPr>
      <w:r>
        <w:rPr>
          <w:rFonts w:ascii="Arial" w:cs="Arial" w:eastAsia="Arial" w:hAnsi="Arial"/>
          <w:color w:val="595959"/>
          <w:sz w:val="22"/>
          <w:szCs w:val="22"/>
        </w:rPr>
        <w:t xml:space="preserve">The final feature set contains 34 features. G3 is never used as a predictor — it is the target.</w:t>
      </w:r>
    </w:p>
    <w:p>
      <w:pPr>
        <w:spacing w:after="4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3.2 Training Pipeline</w:t>
      </w:r>
    </w:p>
    <w:p>
      <w:pPr>
        <w:pStyle w:val="ListParagraph"/>
        <w:numPr>
          <w:ilvl w:val="0"/>
          <w:numId w:val="2"/>
        </w:numPr>
        <w:spacing w:after="40" w:before="40"/>
      </w:pPr>
      <w:r>
        <w:rPr>
          <w:rFonts w:ascii="Arial" w:cs="Arial" w:eastAsia="Arial" w:hAnsi="Arial"/>
          <w:color w:val="595959"/>
          <w:sz w:val="22"/>
          <w:szCs w:val="22"/>
        </w:rPr>
        <w:t xml:space="preserve">80/20 stratified train/test split — preserving the 22% at-risk rate in both sets.</w:t>
      </w:r>
    </w:p>
    <w:p>
      <w:pPr>
        <w:pStyle w:val="ListParagraph"/>
        <w:numPr>
          <w:ilvl w:val="0"/>
          <w:numId w:val="2"/>
        </w:numPr>
        <w:spacing w:after="40" w:before="40"/>
      </w:pPr>
      <w:r>
        <w:rPr>
          <w:rFonts w:ascii="Arial" w:cs="Arial" w:eastAsia="Arial" w:hAnsi="Arial"/>
          <w:color w:val="595959"/>
          <w:sz w:val="22"/>
          <w:szCs w:val="22"/>
        </w:rPr>
        <w:t xml:space="preserve">SMOTE oversampling applied to training data only — balancing minority class from 184 to 651 samples, total training size 1,302.</w:t>
      </w:r>
    </w:p>
    <w:p>
      <w:pPr>
        <w:pStyle w:val="ListParagraph"/>
        <w:numPr>
          <w:ilvl w:val="0"/>
          <w:numId w:val="2"/>
        </w:numPr>
        <w:spacing w:after="40" w:before="40"/>
      </w:pPr>
      <w:r>
        <w:rPr>
          <w:rFonts w:ascii="Arial" w:cs="Arial" w:eastAsia="Arial" w:hAnsi="Arial"/>
          <w:color w:val="595959"/>
          <w:sz w:val="22"/>
          <w:szCs w:val="22"/>
        </w:rPr>
        <w:t xml:space="preserve">XGBoost classifier trained with 300 estimators, max depth 5, learning rate 0.05, regularisation (alpha = 0.1, lambda = 1.0).</w:t>
      </w:r>
    </w:p>
    <w:p>
      <w:pPr>
        <w:pStyle w:val="ListParagraph"/>
        <w:numPr>
          <w:ilvl w:val="0"/>
          <w:numId w:val="2"/>
        </w:numPr>
        <w:spacing w:after="40" w:before="40"/>
      </w:pPr>
      <w:r>
        <w:rPr>
          <w:rFonts w:ascii="Arial" w:cs="Arial" w:eastAsia="Arial" w:hAnsi="Arial"/>
          <w:color w:val="595959"/>
          <w:sz w:val="22"/>
          <w:szCs w:val="22"/>
        </w:rPr>
        <w:t xml:space="preserve">5-fold stratified cross-validation used to verify generalisation.</w:t>
      </w:r>
    </w:p>
    <w:p>
      <w:pPr>
        <w:spacing w:after="80" w:before="0"/>
      </w:pPr>
      <w:r>
        <w:rPr>
          <w:rFonts w:ascii="Arial" w:cs="Arial" w:eastAsia="Arial" w:hAnsi="Arial"/>
          <w:sz w:val="22"/>
          <w:szCs w:val="22"/>
        </w:rPr>
        <w:t xml:space="preserve"/>
      </w:r>
    </w:p>
    <w:p>
      <w:pPr>
        <w:pStyle w:val="Heading1"/>
        <w:pBdr>
          <w:bottom w:val="single" w:color="2E75B6" w:sz="8" w:space="6"/>
        </w:pBdr>
        <w:spacing w:after="120" w:before="320"/>
      </w:pPr>
      <w:r>
        <w:rPr>
          <w:rFonts w:ascii="Arial" w:cs="Arial" w:eastAsia="Arial" w:hAnsi="Arial"/>
          <w:b/>
          <w:bCs/>
          <w:color w:val="1F4E79"/>
          <w:sz w:val="32"/>
          <w:szCs w:val="32"/>
        </w:rPr>
        <w:t xml:space="preserve">4. Model Performance</w:t>
      </w:r>
    </w:p>
    <w:p>
      <w:pPr>
        <w:pStyle w:val="Heading2"/>
        <w:spacing w:after="80" w:before="240"/>
      </w:pPr>
      <w:r>
        <w:rPr>
          <w:rFonts w:ascii="Arial" w:cs="Arial" w:eastAsia="Arial" w:hAnsi="Arial"/>
          <w:b/>
          <w:bCs/>
          <w:color w:val="2E75B6"/>
          <w:sz w:val="26"/>
          <w:szCs w:val="26"/>
        </w:rPr>
        <w:t xml:space="preserve">4.1 Test Set Results (n = 209)</w:t>
      </w:r>
    </w:p>
    <w:p>
      <w:pPr>
        <w:spacing w:after="24" w:before="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rFonts w:ascii="Arial" w:cs="Arial" w:eastAsia="Arial" w:hAnsi="Arial"/>
                <w:b/>
                <w:bCs/>
                <w:color w:val="1F4E79"/>
                <w:sz w:val="36"/>
                <w:szCs w:val="36"/>
              </w:rPr>
              <w:t xml:space="preserve">0.964</w:t>
            </w:r>
          </w:p>
          <w:p>
            <w:pPr>
              <w:jc w:val="center"/>
            </w:pPr>
            <w:r>
              <w:rPr>
                <w:rFonts w:ascii="Arial" w:cs="Arial" w:eastAsia="Arial" w:hAnsi="Arial"/>
                <w:color w:val="595959"/>
                <w:sz w:val="18"/>
                <w:szCs w:val="18"/>
              </w:rPr>
              <w:t xml:space="preserve">ROC-AUC</w:t>
            </w:r>
          </w:p>
        </w:tc>
        <w:tc>
          <w:tcPr>
            <w:tcW w:type="dxa" w:w="220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rFonts w:ascii="Arial" w:cs="Arial" w:eastAsia="Arial" w:hAnsi="Arial"/>
                <w:b/>
                <w:bCs/>
                <w:color w:val="2E75B6"/>
                <w:sz w:val="36"/>
                <w:szCs w:val="36"/>
              </w:rPr>
              <w:t xml:space="preserve">89%</w:t>
            </w:r>
          </w:p>
          <w:p>
            <w:pPr>
              <w:jc w:val="center"/>
            </w:pPr>
            <w:r>
              <w:rPr>
                <w:rFonts w:ascii="Arial" w:cs="Arial" w:eastAsia="Arial" w:hAnsi="Arial"/>
                <w:color w:val="595959"/>
                <w:sz w:val="18"/>
                <w:szCs w:val="18"/>
              </w:rPr>
              <w:t xml:space="preserve">Accuracy</w:t>
            </w:r>
          </w:p>
        </w:tc>
        <w:tc>
          <w:tcPr>
            <w:tcW w:type="dxa" w:w="220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rFonts w:ascii="Arial" w:cs="Arial" w:eastAsia="Arial" w:hAnsi="Arial"/>
                <w:b/>
                <w:bCs/>
                <w:color w:val="C55A11"/>
                <w:sz w:val="36"/>
                <w:szCs w:val="36"/>
              </w:rPr>
              <w:t xml:space="preserve">82.6%</w:t>
            </w:r>
          </w:p>
          <w:p>
            <w:pPr>
              <w:jc w:val="center"/>
            </w:pPr>
            <w:r>
              <w:rPr>
                <w:rFonts w:ascii="Arial" w:cs="Arial" w:eastAsia="Arial" w:hAnsi="Arial"/>
                <w:color w:val="595959"/>
                <w:sz w:val="18"/>
                <w:szCs w:val="18"/>
              </w:rPr>
              <w:t xml:space="preserve">Recall (At-Risk)</w:t>
            </w:r>
          </w:p>
        </w:tc>
        <w:tc>
          <w:tcPr>
            <w:tcW w:type="dxa" w:w="220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rFonts w:ascii="Arial" w:cs="Arial" w:eastAsia="Arial" w:hAnsi="Arial"/>
                <w:b/>
                <w:bCs/>
                <w:color w:val="375623"/>
                <w:sz w:val="36"/>
                <w:szCs w:val="36"/>
              </w:rPr>
              <w:t xml:space="preserve">0.901</w:t>
            </w:r>
          </w:p>
          <w:p>
            <w:pPr>
              <w:jc w:val="center"/>
            </w:pPr>
            <w:r>
              <w:rPr>
                <w:rFonts w:ascii="Arial" w:cs="Arial" w:eastAsia="Arial" w:hAnsi="Arial"/>
                <w:color w:val="595959"/>
                <w:sz w:val="18"/>
                <w:szCs w:val="18"/>
              </w:rPr>
              <w:t xml:space="preserve">Avg Precision</w:t>
            </w:r>
          </w:p>
        </w:tc>
      </w:tr>
    </w:tbl>
    <w:p>
      <w:pPr>
        <w:spacing w:after="40" w:before="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1620"/>
        <w:gridCol w:w="1620"/>
        <w:gridCol w:w="1620"/>
        <w:gridCol w:w="162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6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6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6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F1-Score</w:t>
            </w:r>
          </w:p>
        </w:tc>
        <w:tc>
          <w:tcPr>
            <w:tcW w:type="dxa" w:w="16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Support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Safe</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0.95</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0.91</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0.93</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163</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At-Risk</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0000"/>
                <w:sz w:val="20"/>
                <w:szCs w:val="20"/>
              </w:rPr>
              <w:t xml:space="preserve">0.72</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0000"/>
                <w:sz w:val="20"/>
                <w:szCs w:val="20"/>
              </w:rPr>
              <w:t xml:space="preserve">0.83</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0000"/>
                <w:sz w:val="20"/>
                <w:szCs w:val="20"/>
              </w:rPr>
              <w:t xml:space="preserve">0.77</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46</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Weighted avg</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0.90</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0.89</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0.89</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209</w:t>
            </w:r>
          </w:p>
        </w:tc>
      </w:tr>
    </w:tbl>
    <w:p>
      <w:pPr>
        <w:spacing w:after="4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4.2 Confusion Matrix</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Predicted Safe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Predicted At-Risk</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Actual Safe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148  ✓</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Actual At-Risk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0000"/>
                <w:sz w:val="20"/>
                <w:szCs w:val="20"/>
              </w:rPr>
              <w:t xml:space="preserve">8  ← missed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5623"/>
                <w:sz w:val="20"/>
                <w:szCs w:val="20"/>
              </w:rPr>
              <w:t xml:space="preserve">38  ✓</w:t>
            </w:r>
          </w:p>
        </w:tc>
      </w:tr>
    </w:tbl>
    <w:p>
      <w:pPr>
        <w:spacing w:after="24" w:before="0"/>
      </w:pPr>
      <w:r>
        <w:rPr>
          <w:rFonts w:ascii="Arial" w:cs="Arial" w:eastAsia="Arial" w:hAnsi="Arial"/>
          <w:sz w:val="22"/>
          <w:szCs w:val="22"/>
        </w:rPr>
        <w:t xml:space="preserve"/>
      </w:r>
    </w:p>
    <w:p>
      <w:pPr>
        <w:spacing w:after="60" w:before="60"/>
      </w:pPr>
      <w:r>
        <w:rPr>
          <w:rFonts w:ascii="Arial" w:cs="Arial" w:eastAsia="Arial" w:hAnsi="Arial"/>
          <w:color w:val="595959"/>
          <w:sz w:val="22"/>
          <w:szCs w:val="22"/>
        </w:rPr>
        <w:t xml:space="preserve">Of 46 at-risk students in the test set, 38 were correctly flagged (82.6% recall). Only 8 students were missed — the most costly error in a real school setting. The model correctly cleared 148 safe students, with 15 false alarms.</w:t>
      </w:r>
    </w:p>
    <w:p>
      <w:pPr>
        <w:spacing w:after="4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4.3 Cross-Validation (5-Fold)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Std Dev</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Fold Range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F1 Score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0.787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±0.042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0.735 – 0.849</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ROC-AUC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0.957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±0.016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0.929 – 0.974</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Precision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0.793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±0.042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0.732 – 0.838</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Recall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0.783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±0.063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0.676 – 0.861</w:t>
            </w:r>
          </w:p>
        </w:tc>
      </w:tr>
    </w:tbl>
    <w:p>
      <w:pPr>
        <w:spacing w:after="24" w:before="0"/>
      </w:pPr>
      <w:r>
        <w:rPr>
          <w:rFonts w:ascii="Arial" w:cs="Arial" w:eastAsia="Arial" w:hAnsi="Arial"/>
          <w:sz w:val="22"/>
          <w:szCs w:val="22"/>
        </w:rPr>
        <w:t xml:space="preserve"/>
      </w:r>
    </w:p>
    <w:p>
      <w:pPr>
        <w:spacing w:after="60" w:before="60"/>
      </w:pPr>
      <w:r>
        <w:rPr>
          <w:rFonts w:ascii="Arial" w:cs="Arial" w:eastAsia="Arial" w:hAnsi="Arial"/>
          <w:color w:val="595959"/>
          <w:sz w:val="22"/>
          <w:szCs w:val="22"/>
        </w:rPr>
        <w:t xml:space="preserve">Low standard deviations across all folds confirm the model generalises well and is not overfitting to the training data.</w:t>
      </w:r>
    </w:p>
    <w:p>
      <w:pPr>
        <w:spacing w:after="4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4.4 Threshold Selection</w:t>
      </w:r>
    </w:p>
    <w:p>
      <w:pPr>
        <w:spacing w:after="60" w:before="60"/>
      </w:pPr>
      <w:r>
        <w:rPr>
          <w:rFonts w:ascii="Arial" w:cs="Arial" w:eastAsia="Arial" w:hAnsi="Arial"/>
          <w:color w:val="595959"/>
          <w:sz w:val="22"/>
          <w:szCs w:val="22"/>
        </w:rPr>
        <w:t xml:space="preserve">The default decision threshold of 0.50 was evaluated against alternatives. For a school context, recall matters more than precision — it is better to flag an extra student than to miss one who is failing. A threshold of 0.40 is recommended for deployment, yielding recall of 82.6% with precision of 66.7%, flagging 57 students from a 209-student test set.</w:t>
      </w:r>
    </w:p>
    <w:p>
      <w:pPr>
        <w:spacing w:after="80" w:before="0"/>
      </w:pPr>
      <w:r>
        <w:rPr>
          <w:rFonts w:ascii="Arial" w:cs="Arial" w:eastAsia="Arial" w:hAnsi="Arial"/>
          <w:sz w:val="22"/>
          <w:szCs w:val="22"/>
        </w:rPr>
        <w:t xml:space="preserve"/>
      </w:r>
    </w:p>
    <w:p>
      <w:pPr>
        <w:pStyle w:val="Heading1"/>
        <w:pBdr>
          <w:bottom w:val="single" w:color="2E75B6" w:sz="8" w:space="6"/>
        </w:pBdr>
        <w:spacing w:after="120" w:before="320"/>
      </w:pPr>
      <w:r>
        <w:rPr>
          <w:rFonts w:ascii="Arial" w:cs="Arial" w:eastAsia="Arial" w:hAnsi="Arial"/>
          <w:b/>
          <w:bCs/>
          <w:color w:val="1F4E79"/>
          <w:sz w:val="32"/>
          <w:szCs w:val="32"/>
        </w:rPr>
        <w:t xml:space="preserve">5. SHAP Explainability Insights</w:t>
      </w:r>
    </w:p>
    <w:p>
      <w:pPr>
        <w:spacing w:after="60" w:before="60"/>
      </w:pPr>
      <w:r>
        <w:rPr>
          <w:rFonts w:ascii="Arial" w:cs="Arial" w:eastAsia="Arial" w:hAnsi="Arial"/>
          <w:color w:val="595959"/>
          <w:sz w:val="22"/>
          <w:szCs w:val="22"/>
        </w:rPr>
        <w:t xml:space="preserve">SHAP (SHapley Additive exPlanations) assigns each feature a contribution score for every individual prediction. Unlike global feature importance, SHAP shows not just which features matter but how and in which direction they push the risk score for each student.</w:t>
      </w:r>
    </w:p>
    <w:p>
      <w:pPr>
        <w:spacing w:after="4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5.1 Global Feature Importance (Mean |SHAP|)</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2160"/>
        <w:gridCol w:w="252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 |SHAP|</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0"/>
                <w:szCs w:val="20"/>
              </w:rPr>
              <w:t xml:space="preserve">G2 (mid-term grade)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4E79"/>
                <w:sz w:val="20"/>
                <w:szCs w:val="20"/>
              </w:rPr>
              <w:t xml:space="preserve">3.061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Dominant predictor</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G1 (first period grade)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1.376</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early signal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study_efficiency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0.501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Effort vs output gap</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absences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0.416</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Attendance signal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reason (school choice)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0.303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Motivation proxy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traveltime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0.287</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Commute fatigue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studytime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0.263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Weekly study hours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Mjob (mother's job)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0.216</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Socioeconomic signal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goout (social activity)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0.179</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 allocation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Walc (weekend alcohol)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0.148</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Lifestyle risk</w:t>
            </w:r>
          </w:p>
        </w:tc>
      </w:tr>
    </w:tbl>
    <w:p>
      <w:pPr>
        <w:spacing w:after="4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5.2 Key Insights from SHAP</w:t>
      </w:r>
    </w:p>
    <w:p>
      <w:pPr>
        <w:pStyle w:val="ListParagraph"/>
        <w:numPr>
          <w:ilvl w:val="0"/>
          <w:numId w:val="2"/>
        </w:numPr>
        <w:spacing w:after="40" w:before="40"/>
      </w:pPr>
      <w:r>
        <w:rPr>
          <w:rFonts w:ascii="Arial" w:cs="Arial" w:eastAsia="Arial" w:hAnsi="Arial"/>
          <w:color w:val="595959"/>
          <w:sz w:val="22"/>
          <w:szCs w:val="22"/>
        </w:rPr>
        <w:t xml:space="preserve">G2 is by far the strongest predictor (SHAP = 3.06), outweighing all other features combined. A low mid-term grade is a near-certain indicator of final failure — confirming that mid-semester data is sufficient for reliable early prediction.</w:t>
      </w:r>
    </w:p>
    <w:p>
      <w:pPr>
        <w:pStyle w:val="ListParagraph"/>
        <w:numPr>
          <w:ilvl w:val="0"/>
          <w:numId w:val="2"/>
        </w:numPr>
        <w:spacing w:after="40" w:before="40"/>
      </w:pPr>
      <w:r>
        <w:rPr>
          <w:rFonts w:ascii="Arial" w:cs="Arial" w:eastAsia="Arial" w:hAnsi="Arial"/>
          <w:color w:val="595959"/>
          <w:sz w:val="22"/>
          <w:szCs w:val="22"/>
        </w:rPr>
        <w:t xml:space="preserve">G1 and G2 together account for the majority of the model's decision-making, but the remaining features (absences, study efficiency, social habits) add meaningful precision, especially in borderline cases.</w:t>
      </w:r>
    </w:p>
    <w:p>
      <w:pPr>
        <w:pStyle w:val="ListParagraph"/>
        <w:numPr>
          <w:ilvl w:val="0"/>
          <w:numId w:val="2"/>
        </w:numPr>
        <w:spacing w:after="40" w:before="40"/>
      </w:pPr>
      <w:r>
        <w:rPr>
          <w:rFonts w:ascii="Arial" w:cs="Arial" w:eastAsia="Arial" w:hAnsi="Arial"/>
          <w:color w:val="595959"/>
          <w:sz w:val="22"/>
          <w:szCs w:val="22"/>
        </w:rPr>
        <w:t xml:space="preserve">study_efficiency (grade ÷ study time) surfaces students who are putting in hours but not improving — a sign of learning difficulties rather than effort problems, pointing to different interventions.</w:t>
      </w:r>
    </w:p>
    <w:p>
      <w:pPr>
        <w:pStyle w:val="ListParagraph"/>
        <w:numPr>
          <w:ilvl w:val="0"/>
          <w:numId w:val="2"/>
        </w:numPr>
        <w:spacing w:after="40" w:before="40"/>
      </w:pPr>
      <w:r>
        <w:rPr>
          <w:rFonts w:ascii="Arial" w:cs="Arial" w:eastAsia="Arial" w:hAnsi="Arial"/>
          <w:color w:val="595959"/>
          <w:sz w:val="22"/>
          <w:szCs w:val="22"/>
        </w:rPr>
        <w:t xml:space="preserve">Social and lifestyle features (goout, Walc, traveltime) have modest but consistent SHAP contributions, confirming that academic risk is not purely about grades — behavioural context matters.</w:t>
      </w:r>
    </w:p>
    <w:p>
      <w:pPr>
        <w:pStyle w:val="ListParagraph"/>
        <w:numPr>
          <w:ilvl w:val="0"/>
          <w:numId w:val="2"/>
        </w:numPr>
        <w:spacing w:after="40" w:before="40"/>
      </w:pPr>
      <w:r>
        <w:rPr>
          <w:rFonts w:ascii="Arial" w:cs="Arial" w:eastAsia="Arial" w:hAnsi="Arial"/>
          <w:color w:val="595959"/>
          <w:sz w:val="22"/>
          <w:szCs w:val="22"/>
        </w:rPr>
        <w:t xml:space="preserve">Individual SHAP explanations: For a sample at-risk student (risk = 99.3%), the top drivers were low G2 (+3.95), low G1 (+1.12), long traveltime (+0.29), and low study efficiency (+0.29). For a safe student (risk = 0.1%), the same features pushed strongly in the opposite direction.</w:t>
      </w:r>
    </w:p>
    <w:p>
      <w:pPr>
        <w:spacing w:after="80" w:before="0"/>
      </w:pPr>
      <w:r>
        <w:rPr>
          <w:rFonts w:ascii="Arial" w:cs="Arial" w:eastAsia="Arial" w:hAnsi="Arial"/>
          <w:sz w:val="22"/>
          <w:szCs w:val="22"/>
        </w:rPr>
        <w:t xml:space="preserve"/>
      </w:r>
    </w:p>
    <w:p>
      <w:pPr>
        <w:pStyle w:val="Heading1"/>
        <w:pBdr>
          <w:bottom w:val="single" w:color="2E75B6" w:sz="8" w:space="6"/>
        </w:pBdr>
        <w:spacing w:after="120" w:before="320"/>
      </w:pPr>
      <w:r>
        <w:rPr>
          <w:rFonts w:ascii="Arial" w:cs="Arial" w:eastAsia="Arial" w:hAnsi="Arial"/>
          <w:b/>
          <w:bCs/>
          <w:color w:val="1F4E79"/>
          <w:sz w:val="32"/>
          <w:szCs w:val="32"/>
        </w:rPr>
        <w:t xml:space="preserve">6. Key System Features</w:t>
      </w:r>
    </w:p>
    <w:p>
      <w:pPr>
        <w:pStyle w:val="Heading2"/>
        <w:spacing w:after="80" w:before="240"/>
      </w:pPr>
      <w:r>
        <w:rPr>
          <w:rFonts w:ascii="Arial" w:cs="Arial" w:eastAsia="Arial" w:hAnsi="Arial"/>
          <w:b/>
          <w:bCs/>
          <w:color w:val="2E75B6"/>
          <w:sz w:val="26"/>
          <w:szCs w:val="26"/>
        </w:rPr>
        <w:t xml:space="preserve">6.1 Personalised Intervention Plans</w:t>
      </w:r>
    </w:p>
    <w:p>
      <w:pPr>
        <w:spacing w:after="60" w:before="60"/>
      </w:pPr>
      <w:r>
        <w:rPr>
          <w:rFonts w:ascii="Arial" w:cs="Arial" w:eastAsia="Arial" w:hAnsi="Arial"/>
          <w:color w:val="595959"/>
          <w:sz w:val="22"/>
          <w:szCs w:val="22"/>
        </w:rPr>
        <w:t xml:space="preserve">Once a student is flagged, the system maps their top SHAP risk factors to concrete actions from a curated intervention library. Each recommendation is specific to the root cause:</w:t>
      </w:r>
    </w:p>
    <w:p>
      <w:pPr>
        <w:spacing w:after="24" w:before="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432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Factor</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Intervention</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 G2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Urgent academic support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Immediate tutoring, notify HOD</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absences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Attendance counselling</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One-on-one review, weekly check-ins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 study efficiency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Study skills workshop</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 to learning strategy workshop</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Long traveltime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Transport support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Explore hostel or subsidy options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Walc / Dalc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Wellness referral</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Confidential wellness centre referral</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famsup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Faculty mentorship</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Assign mentor, bi-weekly check-ins</w:t>
            </w:r>
          </w:p>
        </w:tc>
      </w:tr>
    </w:tbl>
    <w:p>
      <w:pPr>
        <w:spacing w:after="4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6.2 Dashboard &amp; Analytics</w:t>
      </w:r>
    </w:p>
    <w:p>
      <w:pPr>
        <w:pStyle w:val="ListParagraph"/>
        <w:numPr>
          <w:ilvl w:val="0"/>
          <w:numId w:val="2"/>
        </w:numPr>
        <w:spacing w:after="40" w:before="40"/>
      </w:pPr>
      <w:r>
        <w:rPr>
          <w:rFonts w:ascii="Arial" w:cs="Arial" w:eastAsia="Arial" w:hAnsi="Arial"/>
          <w:color w:val="595959"/>
          <w:sz w:val="22"/>
          <w:szCs w:val="22"/>
        </w:rPr>
        <w:t xml:space="preserve">Risk distribution view — shows counts of high, medium, and low risk students across the cohort.</w:t>
      </w:r>
    </w:p>
    <w:p>
      <w:pPr>
        <w:pStyle w:val="ListParagraph"/>
        <w:numPr>
          <w:ilvl w:val="0"/>
          <w:numId w:val="2"/>
        </w:numPr>
        <w:spacing w:after="40" w:before="40"/>
      </w:pPr>
      <w:r>
        <w:rPr>
          <w:rFonts w:ascii="Arial" w:cs="Arial" w:eastAsia="Arial" w:hAnsi="Arial"/>
          <w:color w:val="595959"/>
          <w:sz w:val="22"/>
          <w:szCs w:val="22"/>
        </w:rPr>
        <w:t xml:space="preserve">Individual student profiles — risk score, SHAP waterfall chart, and intervention plan per student.</w:t>
      </w:r>
    </w:p>
    <w:p>
      <w:pPr>
        <w:pStyle w:val="ListParagraph"/>
        <w:numPr>
          <w:ilvl w:val="0"/>
          <w:numId w:val="2"/>
        </w:numPr>
        <w:spacing w:after="40" w:before="40"/>
      </w:pPr>
      <w:r>
        <w:rPr>
          <w:rFonts w:ascii="Arial" w:cs="Arial" w:eastAsia="Arial" w:hAnsi="Arial"/>
          <w:color w:val="595959"/>
          <w:sz w:val="22"/>
          <w:szCs w:val="22"/>
        </w:rPr>
        <w:t xml:space="preserve">Bulk CSV upload — faculty can upload entire class lists and get predictions in one step.</w:t>
      </w:r>
    </w:p>
    <w:p>
      <w:pPr>
        <w:pStyle w:val="ListParagraph"/>
        <w:numPr>
          <w:ilvl w:val="0"/>
          <w:numId w:val="2"/>
        </w:numPr>
        <w:spacing w:after="40" w:before="40"/>
      </w:pPr>
      <w:r>
        <w:rPr>
          <w:rFonts w:ascii="Arial" w:cs="Arial" w:eastAsia="Arial" w:hAnsi="Arial"/>
          <w:color w:val="595959"/>
          <w:sz w:val="22"/>
          <w:szCs w:val="22"/>
        </w:rPr>
        <w:t xml:space="preserve">Intervention tracking — faculty and HODs can mark interventions as applied and monitor re-prediction scores over the semester.</w:t>
      </w:r>
    </w:p>
    <w:p>
      <w:pPr>
        <w:spacing w:after="4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6.3 Security &amp; Access</w:t>
      </w:r>
    </w:p>
    <w:p>
      <w:pPr>
        <w:pStyle w:val="ListParagraph"/>
        <w:numPr>
          <w:ilvl w:val="0"/>
          <w:numId w:val="2"/>
        </w:numPr>
        <w:spacing w:after="40" w:before="40"/>
      </w:pPr>
      <w:r>
        <w:rPr>
          <w:rFonts w:ascii="Arial" w:cs="Arial" w:eastAsia="Arial" w:hAnsi="Arial"/>
          <w:color w:val="595959"/>
          <w:sz w:val="22"/>
          <w:szCs w:val="22"/>
        </w:rPr>
        <w:t xml:space="preserve">JWT authentication — role-based access for faculty vs HOD views.</w:t>
      </w:r>
    </w:p>
    <w:p>
      <w:pPr>
        <w:pStyle w:val="ListParagraph"/>
        <w:numPr>
          <w:ilvl w:val="0"/>
          <w:numId w:val="2"/>
        </w:numPr>
        <w:spacing w:after="40" w:before="40"/>
      </w:pPr>
      <w:r>
        <w:rPr>
          <w:rFonts w:ascii="Arial" w:cs="Arial" w:eastAsia="Arial" w:hAnsi="Arial"/>
          <w:color w:val="595959"/>
          <w:sz w:val="22"/>
          <w:szCs w:val="22"/>
        </w:rPr>
        <w:t xml:space="preserve">REST API built with FastAPI — all ML inference handled server-side; frontend never touches model files directly.</w:t>
      </w:r>
    </w:p>
    <w:p>
      <w:pPr>
        <w:pStyle w:val="ListParagraph"/>
        <w:numPr>
          <w:ilvl w:val="0"/>
          <w:numId w:val="2"/>
        </w:numPr>
        <w:spacing w:after="40" w:before="40"/>
      </w:pPr>
      <w:r>
        <w:rPr>
          <w:rFonts w:ascii="Arial" w:cs="Arial" w:eastAsia="Arial" w:hAnsi="Arial"/>
          <w:color w:val="595959"/>
          <w:sz w:val="22"/>
          <w:szCs w:val="22"/>
        </w:rPr>
        <w:t xml:space="preserve">Models loaded once at startup (model.pkl, explainer.pkl, label_encoders.pkl) for low-latency inference.</w:t>
      </w:r>
    </w:p>
    <w:p>
      <w:pPr>
        <w:spacing w:after="80" w:before="0"/>
      </w:pPr>
      <w:r>
        <w:rPr>
          <w:rFonts w:ascii="Arial" w:cs="Arial" w:eastAsia="Arial" w:hAnsi="Arial"/>
          <w:sz w:val="22"/>
          <w:szCs w:val="22"/>
        </w:rPr>
        <w:t xml:space="preserve"/>
      </w:r>
    </w:p>
    <w:p>
      <w:pPr>
        <w:pStyle w:val="Heading1"/>
        <w:pBdr>
          <w:bottom w:val="single" w:color="2E75B6" w:sz="8" w:space="6"/>
        </w:pBdr>
        <w:spacing w:after="120" w:before="320"/>
      </w:pPr>
      <w:r>
        <w:rPr>
          <w:rFonts w:ascii="Arial" w:cs="Arial" w:eastAsia="Arial" w:hAnsi="Arial"/>
          <w:b/>
          <w:bCs/>
          <w:color w:val="1F4E79"/>
          <w:sz w:val="32"/>
          <w:szCs w:val="32"/>
        </w:rPr>
        <w:t xml:space="preserve">7. Summary</w:t>
      </w:r>
    </w:p>
    <w:p>
      <w:pPr>
        <w:spacing w:after="60" w:before="60"/>
      </w:pPr>
      <w:r>
        <w:rPr>
          <w:rFonts w:ascii="Arial" w:cs="Arial" w:eastAsia="Arial" w:hAnsi="Arial"/>
          <w:color w:val="595959"/>
          <w:sz w:val="22"/>
          <w:szCs w:val="22"/>
        </w:rPr>
        <w:t xml:space="preserve">failSafe demonstrates that a well-designed ML pipeline — even on a moderately sized dataset of 1,044 students — can deliver clinically useful predictions (ROC-AUC 0.964) while remaining fully explainable to non-technical users through SHAP.</w:t>
      </w:r>
    </w:p>
    <w:p>
      <w:pPr>
        <w:spacing w:after="24" w:before="0"/>
      </w:pPr>
      <w:r>
        <w:rPr>
          <w:rFonts w:ascii="Arial" w:cs="Arial" w:eastAsia="Arial" w:hAnsi="Arial"/>
          <w:sz w:val="22"/>
          <w:szCs w:val="22"/>
        </w:rPr>
        <w:t xml:space="preserve"/>
      </w:r>
    </w:p>
    <w:p>
      <w:pPr>
        <w:spacing w:after="60" w:before="60"/>
      </w:pPr>
      <w:r>
        <w:rPr>
          <w:rFonts w:ascii="Arial" w:cs="Arial" w:eastAsia="Arial" w:hAnsi="Arial"/>
          <w:color w:val="595959"/>
          <w:sz w:val="22"/>
          <w:szCs w:val="22"/>
        </w:rPr>
        <w:t xml:space="preserve">The critical design choice was using only mid-semester data (G1, G2, absences, study habits) as inputs, never the final grade. This keeps the prediction genuinely early and actionable. SHAP explanations transform an opaque probability into a specific, trustworthy reason — making it possible for a faculty member to walk into a student meeting with concrete evidence rather than a black-box score.</w:t>
      </w:r>
    </w:p>
    <w:p>
      <w:pPr>
        <w:spacing w:after="24" w:before="0"/>
      </w:pPr>
      <w:r>
        <w:rPr>
          <w:rFonts w:ascii="Arial" w:cs="Arial" w:eastAsia="Arial" w:hAnsi="Arial"/>
          <w:sz w:val="22"/>
          <w:szCs w:val="22"/>
        </w:rPr>
        <w:t xml:space="preserve"/>
      </w:r>
    </w:p>
    <w:p>
      <w:pPr>
        <w:spacing w:after="60" w:before="60"/>
      </w:pPr>
      <w:r>
        <w:rPr>
          <w:rFonts w:ascii="Arial" w:cs="Arial" w:eastAsia="Arial" w:hAnsi="Arial"/>
          <w:color w:val="595959"/>
          <w:sz w:val="22"/>
          <w:szCs w:val="22"/>
        </w:rPr>
        <w:t xml:space="preserve">The auto-generated intervention plans close the loop: the system does not just flag problems, it suggests specific next steps mapped to the actual root causes identified by the model.</w:t>
      </w:r>
    </w:p>
    <w:p>
      <w:pPr>
        <w:spacing w:after="40" w:before="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works well</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Potential improvements</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ROC-AUC of 0.964 — strong discrimination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Larger, institution-specific training data</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82.6% recall — catches 4 in 5 at-risk students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Real-time LMS / attendance API integration</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SHAP explanations per student prediction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Longitudinal tracking across multiple semesters</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Personalised intervention plan per risk factor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Faculty feedback loop to retrain the model</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Full-stack deployment ready (FastAPI + React)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Mobile-friendly dashboard for faculty on-the-go</w:t>
            </w:r>
          </w:p>
        </w:tc>
      </w:tr>
    </w:tbl>
    <w:p>
      <w:pPr>
        <w:spacing w:after="80" w:before="0"/>
      </w:pPr>
      <w:r>
        <w:rPr>
          <w:rFonts w:ascii="Arial" w:cs="Arial" w:eastAsia="Arial" w:hAnsi="Arial"/>
          <w:sz w:val="22"/>
          <w:szCs w:val="22"/>
        </w:rPr>
        <w:t xml:space="preserve"/>
      </w:r>
    </w:p>
    <w:p>
      <w:pPr>
        <w:pBdr>
          <w:top w:val="single" w:color="2E75B6" w:sz="6" w:space="6"/>
        </w:pBdr>
        <w:spacing w:after="0" w:before="480"/>
        <w:jc w:val="center"/>
      </w:pPr>
      <w:r>
        <w:rPr>
          <w:rFonts w:ascii="Arial" w:cs="Arial" w:eastAsia="Arial" w:hAnsi="Arial"/>
          <w:i/>
          <w:iCs/>
          <w:color w:val="595959"/>
          <w:sz w:val="20"/>
          <w:szCs w:val="20"/>
        </w:rPr>
        <w:t xml:space="preserve">failSafe  —  Predict early. Intervene in time.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2026-05-18T15:08:10.870Z</dcterms:created>
  <dcterms:modified xsi:type="dcterms:W3CDTF">2026-05-18T15:08:10.871Z</dcterms:modified>
</cp:coreProperties>
</file>

<file path=docProps/custom.xml><?xml version="1.0" encoding="utf-8"?>
<Properties xmlns="http://schemas.openxmlformats.org/officeDocument/2006/custom-properties" xmlns:vt="http://schemas.openxmlformats.org/officeDocument/2006/docPropsVTypes"/>
</file>