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Literature Survey — Face Recognition Research Papers Published in 2026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700"/>
        <w:gridCol w:w="1700"/>
        <w:gridCol w:w="4200"/>
        <w:gridCol w:w="2600"/>
        <w:gridCol w:w="2500"/>
        <w:tblGridChange w:id="0">
          <w:tblGrid>
            <w:gridCol w:w="700"/>
            <w:gridCol w:w="2700"/>
            <w:gridCol w:w="1700"/>
            <w:gridCol w:w="4200"/>
            <w:gridCol w:w="26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Paper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Author(s)/Year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Methodology &amp;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Lightweight, Practical Encrypted Face Recognition with GPU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 Micheli, Hafiz, Pereira, Cominetti, Paiva, Choi, Simplicio Jr &amp; Yildiz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BSGS-Diagonal homomorphic-encryption algorithm plus GPU-optimized CKKS kernels for encrypted client-server face embedding search and matching.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Cuts required rotation keys by ~91%, lowers client memory ~14GB, keeps server RAM under 10GB for galleries up to 2^20 entries; sub-second encrypted recognition.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Focused on encrypted-search infrastructure; gains depend on gallery size and GPU availability, not evaluated on fairness/occlusion robustness.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EventFace: Event-Based Face Recognition via Structure-Driven Spatiotemporal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Meng, Dong, Jin &amp; Tistarelli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Introduces the EFace dataset and a structure-driven spatiotemporal model using LoRA-based transfer from RGB models, a Motion Prompt Encoder, and a Spatiotemporal Modulator for event-camera identity recognition.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Outperforms baselines under poor lighting; event representation is harder to reconstruct into a face image, improving privacy.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Relies on a new, non-standard sensor modality (event cameras) with limited existing benchmarks and hardware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FaceLiVTv2: An Improved Hybrid Architecture for Efficient Mobile Face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Setyawan, Sun, Hsu, Kuo &amp; Hsieh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Lite MHLA global token-interaction module folded into a unified RepMix block with global depthwise convolution, replacing heavier attention blocks for mobile deployment.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22% latency reduction vs. FaceLiVTv1; up to 30.8% faster than GhostFaceNets; 20-41% latency gains over EdgeFace/KANFace while keeping accuracy.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Gains are mobile-hardware-specific; does not address privacy, fairness, or occlusion robustness.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SteerFace: Debiasing Synthetic Face Generation via Adaptive Residue Perturbation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Mi, Yuan, Xu, Zhou, Zhao, Wang, Guo &amp; Zhou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Perturbs identity embeddings toward random orthogonal directions on the embedding hypersphere with an adaptive strategy to regularize identity-conditioned face generators against absorbing non-identity visual cues.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Mitigates "visual tendency" bias in synthetic training data; improves downstream recognition over prior synthetic-data methods; generalizes across datasets/pipelines.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Addresses synthetic-data quality only; does not by itself solve real-world occlusion, fairness, or compute-efficiency needs.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Efficient, Validation-Free Intrinsic Quality Estimation for Large-Scale Face Recognition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Chen, Zhao, Yang, Yang, Xie &amp; Feng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Proposes Intrinsic Quality (IQ), combining a Neighbor-Consistency Score and Global Representation Subspace Complexity (Effective Rank) to estimate dataset training potential without full-scale training.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Enables rapid, validation-free dataset diagnosis and curation using lightweight proxy models before committing compute/annotation budget.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 data-quality diagnostic tool, not a recognition model itself; predictive power still needs validation across more dataset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Lightweight Cross-Spectral Face Recognition via Contrastive Alignment and Distillation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George &amp; Marcel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Adapts a lightweight hybrid CNN-Transformer RGB face model to heterogeneous (thermal/near-infrared-to-visible) matching using contrastive alignment and distillation with limited paired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State-of-the-art or competitive performance on heterogeneous and standard benchmarks while keeping compute low enough for edge devices.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Cross-spectral performance still depends on availability of paired heterogeneous training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Demographic Fairness in Multimodal LLMs: A Benchmark of Gender and Ethnicity Bias in Face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Ozturk, Otroshi Shahreza &amp; Marcel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Benchmarks nine open-source multimodal LLMs on IJB-C and RFW face verification protocols across four ethnicity and two gender groups, using Equal Error Rate, True Match Rate, and FMR-based fairness metrics.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Shows the face-specialised model (FaceLLM-8B) outperforms generic MLLMs; exposes that highest accuracy does not guarantee fairest outcome.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Benchmark/diagnostic study rather than a new recognition method; findings limited to the MLLMs and datasets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The Good, the Better, and the Best: Improving the Discriminability of Face Embeddings through Attribute-aware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Dias, Ribeiro Pinto, Proenca &amp; Neves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Attribute-aware architecture that supervises embeddings with identity-relevant attribute groups while actively suppressing non-identity attributes via gradient reversal.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Identity-relevant attribute subsets outperform broader generic attribute supervision; unlearning non-identity cues yields further accuracy gains; doubles as a shortcut-learning diagnostic.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Requires attribute-labeled data and grouping; added architecture/training complexity versus a plain margin-loss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MLLM-based Textual Explanations for Face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Sony, Jain &amp; Ross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Systematically evaluates MLLM-generated natural-language explanations for face verification on the IJB-S surveillance/pose-variation benchmark, introducing a likelihood-ratio-based evidential-strength framework.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Introduces a principled way to measure whether explanations are evidentially faithful, not just whether the verdict is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Finds current MLLM explanations often hallucinate unverifiable facial details even when the decision is correct; not a deployable explainability solution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Optimizing Image Preparation and Compression for Face Recognition within 1024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Andreas, Schlett &amp; Busch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Examines preprocessing and compression configurations (JPEG, JPEG 2000, JPEG XL, JPEG AI, HEIF, AVIF, WebP) to fit ICAO-style facial images into a 1024-byte budget for 2D-barcode travel documents.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Identifies preprocessing/compression settings that preserve recognition performance at extremely constrained file sizes, enabling low-cost machine-readable ID documents.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Optimized for a narrow storage-constrained use case (barcode ID documents); trade-offs may not generalize to other deployment contexts.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spacing w:after="160" w:lineRule="auto"/>
        <w:jc w:val="left"/>
        <w:rPr/>
      </w:pPr>
      <w:r w:rsidDel="00000000" w:rsidR="00000000" w:rsidRPr="00000000">
        <w:rPr>
          <w:rtl w:val="0"/>
        </w:rPr>
        <w:t xml:space="preserve">Research Gap</w:t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Across the ten 2026 studies surveyed, progress has been made along several independent axes of face recognition research — encrypted matching, event-based sensing, mobile efficiency, synthetic-data debiasing, dataset-quality estimation, cross-spectral matching, fairness benchmarking, attribute-aware embeddings, explainability, and compressed-image standards — but almost none of the works address more than one or two of these axes together. This leaves the following concrete gaps for future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Fragmented objectives: </w:t>
      </w:r>
      <w:r w:rsidDel="00000000" w:rsidR="00000000" w:rsidRPr="00000000">
        <w:rPr>
          <w:sz w:val="18"/>
          <w:szCs w:val="18"/>
          <w:rtl w:val="0"/>
        </w:rPr>
        <w:t xml:space="preserve">encrypted/GPU-accelerated matching (Ref [1]), mobile-lightweight architectures (Ref [3]), and demographic-fairness methods (Refs [4], [7], [8]) are each evaluated in isolation — no study combines encryption, low-latency edge inference, and bias mitigation in a single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Limited cross-modality generalization: </w:t>
      </w:r>
      <w:r w:rsidDel="00000000" w:rsidR="00000000" w:rsidRPr="00000000">
        <w:rPr>
          <w:sz w:val="18"/>
          <w:szCs w:val="18"/>
          <w:rtl w:val="0"/>
        </w:rPr>
        <w:t xml:space="preserve">event-camera recognition (Ref [2]) and cross-spectral thermal/near-infrared matching (Ref [6]) both depend on specialized sensors and paired training data, and neither is benchmarked against standard RGB pipelines under the same fairness or robustness protocols used elsewhere.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Diagnosis without correction: </w:t>
      </w:r>
      <w:r w:rsidDel="00000000" w:rsidR="00000000" w:rsidRPr="00000000">
        <w:rPr>
          <w:sz w:val="18"/>
          <w:szCs w:val="18"/>
          <w:rtl w:val="0"/>
        </w:rPr>
        <w:t xml:space="preserve">the fairness/bias benchmark (Ref [7]) and attribute-aware embeddings (Ref [8]) expose bias but are not integrated with the synthetic-data debiasing pipeline of Ref [4], leaving a gap between measuring bias and mitigating it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Unverified explainability: </w:t>
      </w:r>
      <w:r w:rsidDel="00000000" w:rsidR="00000000" w:rsidRPr="00000000">
        <w:rPr>
          <w:sz w:val="18"/>
          <w:szCs w:val="18"/>
          <w:rtl w:val="0"/>
        </w:rPr>
        <w:t xml:space="preserve">MLLM-generated explanations for face comparison (Ref [9]) can hallucinate facial details even on correct decisions, and no reviewed work proposes a deployable, hallucination-checked explanation system for forensic or legal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Disconnected data pipelines: </w:t>
      </w:r>
      <w:r w:rsidDel="00000000" w:rsidR="00000000" w:rsidRPr="00000000">
        <w:rPr>
          <w:sz w:val="18"/>
          <w:szCs w:val="18"/>
          <w:rtl w:val="0"/>
        </w:rPr>
        <w:t xml:space="preserve">the validation-free intrinsic-quality estimator (Ref [5]) and the 1024-byte image-compression study (Ref [10]) optimize inputs to recognition systems but are not evaluated for their downstream effect on the fairness or accuracy of the recognition models surveyed elsewhere.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Weak real-world robustness: </w:t>
      </w:r>
      <w:r w:rsidDel="00000000" w:rsidR="00000000" w:rsidRPr="00000000">
        <w:rPr>
          <w:sz w:val="18"/>
          <w:szCs w:val="18"/>
          <w:rtl w:val="0"/>
        </w:rPr>
        <w:t xml:space="preserve">occlusion and uncontrolled real-world conditions are repeatedly flagged as unaddressed (Refs [1], [3], [4]), indicating most methods are still validated on comparatively clean gallery/probe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Overall, the literature reveals a research gap in integrated, real-world-robust face recognition systems that jointly optimize for privacy, computational efficiency, demographic fairness, and verifiable explainability, rather than treating each concern as a separate research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60" w:lineRule="auto"/>
        <w:jc w:val="left"/>
        <w:rPr/>
      </w:pPr>
      <w:r w:rsidDel="00000000" w:rsidR="00000000" w:rsidRPr="00000000">
        <w:rPr>
          <w:rtl w:val="0"/>
        </w:rPr>
        <w:t xml:space="preserve">Alignment with UN Sustainable Development Goals (SDGs)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The reviewed face recognition research maps onto several United Nations Sustainable Development Goals, summarized below.</w:t>
      </w: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00"/>
        <w:gridCol w:w="8000"/>
        <w:tblGridChange w:id="0">
          <w:tblGrid>
            <w:gridCol w:w="2200"/>
            <w:gridCol w:w="42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SDG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Relevance to the surveyed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SDG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Industry, Innovation and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GPU-optimized encrypted matching (Ref [1]), lightweight mobile architectures (Ref [3]), and 1024-byte compression for ID documents (Ref [10]) advance efficient, resilient digital identity infrastructure.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SDG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Reduced Inequalities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Demographic fairness benchmarking across ethnicity and gender (Ref [7]), attribute-aware debiased embeddings (Ref [8]), and bias-mitigated synthetic data generation (Ref [4]) target equitable recognition accuracy across population 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SDG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Gender Equality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The gender-bias dimension of the fairness benchmark (Ref [7]) directly measures and exposes recognition accuracy gaps between genders.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SDG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Peace, Justice and Strong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Privacy-preserving encrypted recognition (Ref [1]), evidentially-grounded explainable face comparison (Ref [9]), and secure low-cost travel-document imaging (Ref [10]) support trustworthy identity verification for legal and institutional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SDG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Good Health and Well-being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Privacy-preserving, event-based, and thermal/NIR recognition (Refs [1], [2], [6]) reduce dependence on continuous visible-light surveillance, supporting less intrusive monitoring in health and care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60" w:lineRule="auto"/>
        <w:jc w:val="left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63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[1] De Micheli, S., Hafiz, R., Pereira, L., Cominetti, E., Paiva, T., Choi, D., Simplicio Jr, M. A., &amp; Yildiz, H. (2026). Lightweight, practical encrypted face recognition with GPU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[2] Meng, Q., Dong, X., Jin, Z., &amp; Tistarelli, M. (2026). EventFace: Event-based face recognition via structure-driven spatiotemporal 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[3] Setyawan, R., Sun, T., Hsu, C., Kuo, C., &amp; Hsieh, J. (2026). FaceLiVTv2: An improved hybrid architecture for efficient mobile face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[4] Mi, Y., Yuan, J., Xu, S., Zhou, K., Zhao, Y., Wang, T., Guo, J., &amp; Zhou, Z. (2026). SteerFace: Debiasing synthetic face generation via adaptive residue perturbation.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[5] Chen, W., Zhao, X., Yang, K., Yang, S., Xie, D., &amp; Feng, J. (2026). Efficient, validation-free intrinsic quality estimation for large-scale face recognition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[6] George, A., &amp; Marcel, S. (2026). Lightweight cross-spectral face recognition via contrastive alignment and distillation.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[7] Ozturk, E., Otroshi Shahreza, H., &amp; Marcel, S. (2026). Demographic fairness in multimodal LLMs: A benchmark of gender and ethnicity bias in face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[8] Dias, T., Ribeiro Pinto, J., Proenca, H., &amp; Neves, J. (2026). The good, the better, and the best: Improving the discriminability of face embeddings through attribute-aware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[9] Sony, A., Jain, A., &amp; Ross, A. (2026). MLLM-based textual explanations for face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ind w:left="36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[10] Andreas, A., Schlett, T., &amp; Busch, C. (2026). Optimizing image preparation and compression for face recognition within 1024 bytes.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