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22558" w14:textId="77777777" w:rsidR="00434EFE" w:rsidRDefault="00000000">
      <w:pPr>
        <w:spacing w:after="160"/>
        <w:jc w:val="center"/>
      </w:pPr>
      <w:r>
        <w:rPr>
          <w:b/>
          <w:color w:val="1E3A8A"/>
          <w:sz w:val="36"/>
        </w:rPr>
        <w:t>RareDXAI: A Human Phenotype Ontology-Based Framework for Rare Disease Prediction</w:t>
      </w:r>
    </w:p>
    <w:p w14:paraId="59529079" w14:textId="77777777" w:rsidR="00434EFE" w:rsidRDefault="00000000">
      <w:pPr>
        <w:keepNext/>
        <w:spacing w:before="320"/>
      </w:pPr>
      <w:r>
        <w:rPr>
          <w:b/>
          <w:color w:val="1E3A8A"/>
          <w:sz w:val="28"/>
        </w:rPr>
        <w:t>1. Abstract</w:t>
      </w:r>
    </w:p>
    <w:p w14:paraId="4F7D4F78" w14:textId="77777777" w:rsidR="00434EFE" w:rsidRDefault="00000000">
      <w:pPr>
        <w:jc w:val="both"/>
      </w:pPr>
      <w:r>
        <w:rPr>
          <w:b/>
        </w:rPr>
        <w:t xml:space="preserve">Background: </w:t>
      </w:r>
      <w:r>
        <w:t>Rare genetic diseases affect more than 300 million people worldwide. Diagnosing these conditions is challenging because many distinct genetic disorders present with overlapping clinical features, such as developmental delays, speech impairments, and intellectual disability. In pediatric genetics, syndromic neurodevelopmental conditions like KBG syndrome, White-Sutton syndrome, and Xia-Gibbs syndrome share non-specific clinical signs that frequently lead to prolonged diagnostic delays lasting five to seven years.</w:t>
      </w:r>
    </w:p>
    <w:p w14:paraId="155E7C72" w14:textId="77777777" w:rsidR="00434EFE" w:rsidRDefault="00000000">
      <w:pPr>
        <w:jc w:val="both"/>
      </w:pPr>
      <w:r>
        <w:rPr>
          <w:b/>
        </w:rPr>
        <w:t xml:space="preserve">Methods: </w:t>
      </w:r>
      <w:r>
        <w:t>We developed RareDXAI, a computational decision-support framework that uses standardized Human Phenotype Ontology (HPO) terms to perform phenotype-based classification among three predefined rare syndromes. We curated an audited, literature-derived cohort of 385 patients with confirmed pathogenic variants across 48 peer-reviewed publications (from 52 candidate literature sources evaluated during curation, with four secondary, overlapping, or re-reported sources containing 59 candidate records quarantined under a predefined exclusion protocol). Clinical features were encoded into 78 binary HPO terms and 3 one-hot sex indicators (81 total predictor dimensions). To reduce the risk of phenotype-profile leakage, identical phenotypic profiles were grouped before applying a 60/20/20 train/validation/test split (N=230 training, N=77 validation, N=78 held-out test), and feature vocabularies were constructed strictly from training data. We trained a Random Forest model with Platt probability scaling (5-fold internal cross-calibration) and explained predictions using TreeSHAP.</w:t>
      </w:r>
    </w:p>
    <w:p w14:paraId="64D8F0B0" w14:textId="77777777" w:rsidR="00434EFE" w:rsidRDefault="00000000">
      <w:pPr>
        <w:jc w:val="both"/>
      </w:pPr>
      <w:r>
        <w:rPr>
          <w:b/>
        </w:rPr>
        <w:t xml:space="preserve">Results: </w:t>
      </w:r>
      <w:r>
        <w:t>On the held-out test set (N=78), RareDXAI correctly classified 77 out of 78 patients, corresponding to a held-out classification accuracy of 98.72% (Wilson 95% CI: 93.09%–99.77%), balanced accuracy of 96.30%, macro precision of 99.45%, macro recall of 96.30%, macro specificity of 98.15%, and macro F1-score of 97.76%. Multi-class threshold-agnostic evaluation on this held-out test set yielded a macro AUROC of 1.0000 and macro AUPRC of 1.0000, with a multiclass Brier score of 0.0419 and Expected Calibration Error (ECE) of 8.59%. Five-fold stratified grouped cross-validation demonstrated high consistency (97.14% ± 2.23% accuracy; macro F1: 94.89% ± 4.04%). In contrast, source-publication-grouped stress validation (GroupKFold by source publication) showed lower performance (79.62% ± 27.05% accuracy; macro F1: 59.51% ± 26.81%), indicating that publication-specific phenotype reporting patterns affect model transferability. TreeSHAP analysis identified standardized HPO features strongly associated with model decision boundaries, such as macrodontia (HP:0001572) for KBG syndrome, autism spectrum traits (HP:0000717) for White-Sutton syndrome, and thin upper lip vermilion (HP:0000219) for Xia-Gibbs syndrome. Exploratory upstream optical character recognition (OCR) on digitized notes achieved a Character Error Rate of 11.42% and Word Error Rate of 92.00%.</w:t>
      </w:r>
    </w:p>
    <w:p w14:paraId="71967084" w14:textId="77777777" w:rsidR="00434EFE" w:rsidRDefault="00000000">
      <w:pPr>
        <w:jc w:val="both"/>
      </w:pPr>
      <w:r>
        <w:rPr>
          <w:b/>
        </w:rPr>
        <w:lastRenderedPageBreak/>
        <w:t xml:space="preserve">Conclusions: </w:t>
      </w:r>
      <w:r>
        <w:t>RareDXAI provides an interpretable phenotype-based classification framework and a reproducible baseline for rare disease decision support. While held-out test classification performance is high under profile-grouped evaluation, the substantial performance drop in source-publication-grouped stress testing highlights that independent external and prospective clinical validation remain necessary before deployment.</w:t>
      </w:r>
    </w:p>
    <w:p w14:paraId="33677D54" w14:textId="77777777" w:rsidR="00434EFE" w:rsidRDefault="00000000">
      <w:pPr>
        <w:jc w:val="both"/>
      </w:pPr>
      <w:r>
        <w:rPr>
          <w:b/>
        </w:rPr>
        <w:t xml:space="preserve">Keywords: </w:t>
      </w:r>
      <w:r>
        <w:t>Rare Diseases, Human Phenotype Ontology, Machine Learning, Random Forest, Model Interpretability, SHAP, Clinical Decision Support, Neurodevelopmental Disorders.</w:t>
      </w:r>
    </w:p>
    <w:p w14:paraId="243FBF48" w14:textId="77777777" w:rsidR="00434EFE" w:rsidRDefault="00000000">
      <w:pPr>
        <w:keepNext/>
        <w:spacing w:before="320"/>
      </w:pPr>
      <w:r>
        <w:rPr>
          <w:b/>
          <w:color w:val="1E3A8A"/>
          <w:sz w:val="28"/>
        </w:rPr>
        <w:t>2. Introduction</w:t>
      </w:r>
    </w:p>
    <w:p w14:paraId="3C99F6BD" w14:textId="77777777" w:rsidR="00434EFE" w:rsidRDefault="00000000">
      <w:pPr>
        <w:jc w:val="both"/>
      </w:pPr>
      <w:r>
        <w:t>Rare diseases are medical conditions that affect a small fraction of the population, typically defined as fewer than 1 in 2,000 individuals in Europe or fewer than 200,000 individuals in the United States. Although each individual disorder is rare, there are over 7,000 recognized rare genetic conditions, which together affect an estimated 300 to 400 million people globally.</w:t>
      </w:r>
    </w:p>
    <w:p w14:paraId="799B725E" w14:textId="77777777" w:rsidR="00434EFE" w:rsidRDefault="00000000">
      <w:pPr>
        <w:jc w:val="both"/>
      </w:pPr>
      <w:r>
        <w:t>Most rare diseases have an underlying genetic cause and manifest during infancy or early childhood. Despite advances in high-throughput DNA sequencing—including whole-exome sequencing (WES) and whole-genome sequencing (WGS)—affected patients and their families frequently experience a prolonged and stressful diagnostic odyssey. On average, obtaining a correct diagnosis requires five to seven years, multiple specialist visits, and several initial misdiagnoses.</w:t>
      </w:r>
    </w:p>
    <w:p w14:paraId="5B7F8BD0" w14:textId="77777777" w:rsidR="00434EFE" w:rsidRDefault="00000000">
      <w:pPr>
        <w:jc w:val="both"/>
      </w:pPr>
      <w:r>
        <w:t>A principal contributor to this diagnostic delay is clinical phenotypic overlap. Many genetic conditions share broad, non-specific neurodevelopmental symptoms, such as intellectual disability, motor milestone delays, speech impairments, and behavioral challenges. This diagnostic challenge is particularly pronounced among three syndromic neurodevelopmental conditions:</w:t>
      </w:r>
    </w:p>
    <w:p w14:paraId="47239A95" w14:textId="77777777" w:rsidR="00434EFE" w:rsidRDefault="00000000">
      <w:pPr>
        <w:jc w:val="both"/>
      </w:pPr>
      <w:r>
        <w:t>1. KBG Syndrome (MIM #148050): Caused by heterozygous loss-of-function mutations or microdeletions in the ANKRD11 gene on chromosome 16q24.3 (Martinez-Cayuelas et al., 2023). Characteristic clinical findings include unusually large upper front teeth (macrodontia of the central incisors), a triangular facial appearance, prominent eyebrows, short stature, skeletal hand differences (such as brachydactyly or short fifth fingers), and mild-to-moderate intellectual disability.</w:t>
      </w:r>
    </w:p>
    <w:p w14:paraId="3BEE0ECF" w14:textId="77777777" w:rsidR="00434EFE" w:rsidRDefault="00000000">
      <w:pPr>
        <w:jc w:val="both"/>
      </w:pPr>
      <w:r>
        <w:t>2. White-Sutton Syndrome (MIM #616364): Caused by heterozygous de novo mutations in the POGZ gene on chromosome 1q21.3 (Assia Batzir et al., 2020). Common clinical features include developmental delay, intellectual disability, speech impairment, autism spectrum disorder traits, small head size (microcephaly), and distinctive facial features.</w:t>
      </w:r>
    </w:p>
    <w:p w14:paraId="36BAFC62" w14:textId="77777777" w:rsidR="00434EFE" w:rsidRDefault="00000000">
      <w:pPr>
        <w:jc w:val="both"/>
      </w:pPr>
      <w:r>
        <w:t>3. Xia-Gibbs Syndrome (MIM #615829): Caused by heterozygous de novo truncating mutations in the AHDC1 gene on chromosome 1p36.11 (Khayat et al., 2021). Hallmark signs include severe infantile hypotonia (low muscle tone), global developmental delay, expressive speech absence or delay, a broad forehead, downward-slanting palpebral fissures, a thin upper lip vermilion, structural brain anomalies, and sleep disturbances such as obstructive sleep apnea.</w:t>
      </w:r>
    </w:p>
    <w:p w14:paraId="3E7105A2" w14:textId="77777777" w:rsidR="00434EFE" w:rsidRDefault="00000000">
      <w:pPr>
        <w:jc w:val="both"/>
      </w:pPr>
      <w:r>
        <w:t>Because these three syndromes share non-specific neurodevelopmental manifestations, differentiating among them based purely on routine initial clinical evaluation is difficult. The current model is a closed-</w:t>
      </w:r>
      <w:r>
        <w:lastRenderedPageBreak/>
        <w:t>set three-class classification system focusing on these three conditions and should not be interpreted as a general-purpose rare disease diagnostic model.</w:t>
      </w:r>
    </w:p>
    <w:p w14:paraId="10F1DD03" w14:textId="77777777" w:rsidR="00434EFE" w:rsidRDefault="00000000">
      <w:pPr>
        <w:jc w:val="both"/>
      </w:pPr>
      <w:r>
        <w:t>To standardize clinical descriptions and make them computable, the biomedical community established the Human Phenotype Ontology (HPO) (Köhler et al., 2021; Gargano et al., 2024). The HPO provides a controlled vocabulary of standardized medical terms organized in a directed acyclic graph. For example, instead of recording free-text phrases like 'large central teeth,' clinicians and computational pipelines use the standardized concept HP:0001572 (Macrodontia of central incisors). This structured vocabulary allows machine-learning algorithms to analyze patient phenotypic profiles systematically.</w:t>
      </w:r>
    </w:p>
    <w:p w14:paraId="29B888AB" w14:textId="77777777" w:rsidR="00434EFE" w:rsidRDefault="00000000">
      <w:pPr>
        <w:jc w:val="both"/>
      </w:pPr>
      <w:r>
        <w:t>However, applying machine learning to rare disease phenomics involves specific methodological considerations: cohort sizes for ultra-rare disorders are inherently limited; retrospective cohorts derived from published clinical literature may carry selection and reporting biases; if patients with identical phenotypic profiles are placed into both training and evaluation sets, evaluations can be corrupted by profile overlap; and complex machine-learning models require explainability mechanisms so that clinicians can examine which clinical features influence algorithmic predictions.</w:t>
      </w:r>
    </w:p>
    <w:p w14:paraId="275FD406" w14:textId="77777777" w:rsidR="00434EFE" w:rsidRDefault="00000000">
      <w:pPr>
        <w:jc w:val="both"/>
      </w:pPr>
      <w:r>
        <w:t>To address these challenges, we built RareDXAI, a phenotype-based computational framework designed to support candidate prioritization among syndromic mimics. RareDXAI uses an audited, literature-derived cohort of 385 molecularly confirmed patients from 48 peer-reviewed publications, applies profile-grouped data partitioning to reduce profile leakage, uses calibrated Random Forest classification to provide probability estimates, and uses SHAP (SHapley Additive exPlanations) to identify features strongly associated with model decision boundaries.</w:t>
      </w:r>
    </w:p>
    <w:p w14:paraId="2255C419" w14:textId="77777777" w:rsidR="00434EFE" w:rsidRDefault="00000000">
      <w:pPr>
        <w:keepNext/>
        <w:spacing w:before="160" w:after="80"/>
        <w:jc w:val="center"/>
      </w:pPr>
      <w:r>
        <w:rPr>
          <w:noProof/>
        </w:rPr>
        <w:drawing>
          <wp:inline distT="0" distB="0" distL="0" distR="0" wp14:anchorId="371A22B7" wp14:editId="00B2922A">
            <wp:extent cx="5486400" cy="3062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drome_phenotypes_illustration.jpg"/>
                    <pic:cNvPicPr/>
                  </pic:nvPicPr>
                  <pic:blipFill>
                    <a:blip r:embed="rId6"/>
                    <a:stretch>
                      <a:fillRect/>
                    </a:stretch>
                  </pic:blipFill>
                  <pic:spPr>
                    <a:xfrm>
                      <a:off x="0" y="0"/>
                      <a:ext cx="5486400" cy="3062177"/>
                    </a:xfrm>
                    <a:prstGeom prst="rect">
                      <a:avLst/>
                    </a:prstGeom>
                  </pic:spPr>
                </pic:pic>
              </a:graphicData>
            </a:graphic>
          </wp:inline>
        </w:drawing>
      </w:r>
    </w:p>
    <w:p w14:paraId="4F50A55C" w14:textId="77777777" w:rsidR="00434EFE" w:rsidRDefault="00000000">
      <w:pPr>
        <w:spacing w:after="240"/>
        <w:jc w:val="center"/>
      </w:pPr>
      <w:r>
        <w:rPr>
          <w:i/>
          <w:color w:val="475569"/>
          <w:sz w:val="19"/>
        </w:rPr>
        <w:t>Figure 1. Representative clinical and phenotypic features associated with KBG, White-Sutton, and Xia-Gibbs syndromes. The illustration is intended for visual context and does not represent all affected individuals.</w:t>
      </w:r>
    </w:p>
    <w:p w14:paraId="63E48FB0" w14:textId="77777777" w:rsidR="00434EFE" w:rsidRDefault="00000000">
      <w:pPr>
        <w:keepNext/>
        <w:spacing w:before="320"/>
      </w:pPr>
      <w:r>
        <w:rPr>
          <w:b/>
          <w:color w:val="1E3A8A"/>
          <w:sz w:val="28"/>
        </w:rPr>
        <w:lastRenderedPageBreak/>
        <w:t>3. Literature Survey</w:t>
      </w:r>
    </w:p>
    <w:p w14:paraId="526947E6" w14:textId="77777777" w:rsidR="00434EFE" w:rsidRDefault="00000000">
      <w:pPr>
        <w:jc w:val="both"/>
      </w:pPr>
      <w:r>
        <w:t>Computational methods for rare disease analysis have advanced from manual expert tables to ontology-driven machine learning, natural language processing (NLP), and deep learning. Mining individual patient case reports from published literature and converting them into structured, computable datasets is a well-established practice in computational genetics.</w:t>
      </w:r>
    </w:p>
    <w:p w14:paraId="2BF83127" w14:textId="77777777" w:rsidR="00434EFE" w:rsidRDefault="00000000">
      <w:pPr>
        <w:jc w:val="both"/>
      </w:pPr>
      <w:r>
        <w:t>We reviewed 15 peer-reviewed studies published between 2020 and 2026 that directly inform the design of RareDXAI. These studies fall into three main areas:</w:t>
      </w:r>
    </w:p>
    <w:p w14:paraId="6B825C8A" w14:textId="77777777" w:rsidR="00434EFE" w:rsidRDefault="00000000">
      <w:pPr>
        <w:jc w:val="both"/>
      </w:pPr>
      <w:r>
        <w:t>3.1 Ontology and Computable Phenotype Standards: Standardized ontologies provide the vocabulary for computational phenomics. Köhler et al. (2021) and Gargano et al. (2024) detailed the ongoing growth of the Human Phenotype Ontology (HPO) to over 16,000 terms, providing the canonical hp.obo vocabulary (Release 2026-06-23) used in this work. Jacobsen et al. (2022) published the GA4GH Phenopacket schema in Nature Biotechnology (standardized as ISO 4454:2022), creating an international format for sharing computable patient-level phenotypic and genomic data.</w:t>
      </w:r>
    </w:p>
    <w:p w14:paraId="0324FCE4" w14:textId="77777777" w:rsidR="00434EFE" w:rsidRDefault="00000000">
      <w:pPr>
        <w:jc w:val="both"/>
      </w:pPr>
      <w:r>
        <w:t>3.2 Literature-Derived Patient Datasets and Phenotype Extraction: Extracting patient-level data from published literature to construct computable cohorts is a foundational methodology. Ladewig et al. (2023) introduced the Phenopacket Store in Database, curating thousands of computable case reports directly from published literature into structured Phenopackets. The Phenopacket Store provides the closest methodological precedent to our study, demonstrating that structured extraction of published case reports enables reproducible benchmarking. RareDXAI builds upon this precedent by focusing on a specific three-syndrome classification problem with binary feature encoding, probability calibration, and SHAP interpretability.</w:t>
      </w:r>
    </w:p>
    <w:p w14:paraId="3D0679E4" w14:textId="77777777" w:rsidR="00434EFE" w:rsidRDefault="00000000">
      <w:pPr>
        <w:jc w:val="both"/>
      </w:pPr>
      <w:r>
        <w:t>Complementing literature curation, Birgmeier et al. (2020) developed AMELIE in Science Translational Medicine, using NLP and machine learning to parse published literature for Mendelian diagnosis. Feng et al. (2021) created PhenoTagger in Bioinformatics, combining deep learning and dictionary indexing for automated HPO recognition. Liu et al. (2020) developed Doc2HPO in BMC Bioinformatics for interactive phenotype curation from clinical text. Schuetz et al. (2023) evaluated automated phenotype extraction from case reports in the Journal of Biomedical Informatics, demonstrating that OCR error propagation requires careful verification.</w:t>
      </w:r>
    </w:p>
    <w:p w14:paraId="3C7EE91C" w14:textId="77777777" w:rsidR="00434EFE" w:rsidRDefault="00000000">
      <w:pPr>
        <w:jc w:val="both"/>
      </w:pPr>
      <w:r>
        <w:t>3.3 Phenotype-Based Machine Learning and Disease Prioritization: Computational tools use phenotype matching to prioritize candidate diseases and genes. Robinson et al. (2020) introduced LIRICAL in The American Journal of Human Genetics, using likelihood ratios across observed and excluded HPO terms to calculate diagnostic odds. Zhao et al. (2020) developed Phen2Gene in Nucleic Acids Research for phenotype-driven gene prioritization. Hsieh et al. (2022) presented GestaltMatcher in Nature Genetics, using deep convolutional neural networks to match facial dysmorphology from clinical photographs. Rönicke et al. (2020) reviewed rare disease clinical decision support systems in Molecular and Cellular Pediatrics, emphasizing the importance of probability calibration, leakage controls, and interpretability.</w:t>
      </w:r>
    </w:p>
    <w:p w14:paraId="6BC1BA60" w14:textId="77777777" w:rsidR="00434EFE" w:rsidRDefault="00000000">
      <w:pPr>
        <w:jc w:val="both"/>
      </w:pPr>
      <w:r>
        <w:t>Finally, clinical cohort characterizations provided the primary data sources for our target conditions: Martinez-Cayuelas et al. (2023) for KBG syndrome (ANKRD11), Assia Batzir et al. (2020) for White-Sutton syndrome (POGZ), and Khayat et al. (2021) for Xia-Gibbs syndrome (AHDC1).</w:t>
      </w:r>
    </w:p>
    <w:p w14:paraId="0217E19A" w14:textId="77777777" w:rsidR="00434EFE" w:rsidRDefault="00000000">
      <w:pPr>
        <w:keepNext/>
        <w:spacing w:before="200" w:after="80"/>
      </w:pPr>
      <w:r>
        <w:rPr>
          <w:b/>
          <w:color w:val="1E3A8A"/>
          <w:sz w:val="20"/>
        </w:rPr>
        <w:lastRenderedPageBreak/>
        <w:t>Table 1. Literature Comparison Matrix (15 Peer-Reviewed Studies, 2020–2026)</w:t>
      </w:r>
    </w:p>
    <w:tbl>
      <w:tblPr>
        <w:tblW w:w="0" w:type="auto"/>
        <w:jc w:val="center"/>
        <w:tblLook w:val="04A0" w:firstRow="1" w:lastRow="0" w:firstColumn="1" w:lastColumn="0" w:noHBand="0" w:noVBand="1"/>
      </w:tblPr>
      <w:tblGrid>
        <w:gridCol w:w="668"/>
        <w:gridCol w:w="1085"/>
        <w:gridCol w:w="1465"/>
        <w:gridCol w:w="1194"/>
        <w:gridCol w:w="1183"/>
        <w:gridCol w:w="1335"/>
        <w:gridCol w:w="1302"/>
        <w:gridCol w:w="1344"/>
      </w:tblGrid>
      <w:tr w:rsidR="00434EFE" w14:paraId="7F34890C" w14:textId="77777777">
        <w:trPr>
          <w:cantSplit/>
          <w:tblHeader/>
          <w:jc w:val="center"/>
        </w:trPr>
        <w:tc>
          <w:tcPr>
            <w:tcW w:w="864" w:type="dxa"/>
            <w:shd w:val="clear" w:color="auto" w:fill="1E3A8A"/>
          </w:tcPr>
          <w:p w14:paraId="693673A3" w14:textId="77777777" w:rsidR="00434EFE" w:rsidRDefault="00000000">
            <w:pPr>
              <w:spacing w:before="60" w:after="60"/>
              <w:jc w:val="center"/>
            </w:pPr>
            <w:r>
              <w:rPr>
                <w:b/>
                <w:color w:val="FFFFFF"/>
                <w:sz w:val="18"/>
              </w:rPr>
              <w:t>Year</w:t>
            </w:r>
          </w:p>
        </w:tc>
        <w:tc>
          <w:tcPr>
            <w:tcW w:w="1440" w:type="dxa"/>
            <w:shd w:val="clear" w:color="auto" w:fill="1E3A8A"/>
          </w:tcPr>
          <w:p w14:paraId="68FF11E0" w14:textId="77777777" w:rsidR="00434EFE" w:rsidRDefault="00000000">
            <w:pPr>
              <w:spacing w:before="60" w:after="60"/>
              <w:jc w:val="center"/>
            </w:pPr>
            <w:r>
              <w:rPr>
                <w:b/>
                <w:color w:val="FFFFFF"/>
                <w:sz w:val="18"/>
              </w:rPr>
              <w:t>Authors</w:t>
            </w:r>
          </w:p>
        </w:tc>
        <w:tc>
          <w:tcPr>
            <w:tcW w:w="1728" w:type="dxa"/>
            <w:shd w:val="clear" w:color="auto" w:fill="1E3A8A"/>
          </w:tcPr>
          <w:p w14:paraId="1C5DB12B" w14:textId="77777777" w:rsidR="00434EFE" w:rsidRDefault="00000000">
            <w:pPr>
              <w:spacing w:before="60" w:after="60"/>
              <w:jc w:val="center"/>
            </w:pPr>
            <w:r>
              <w:rPr>
                <w:b/>
                <w:color w:val="FFFFFF"/>
                <w:sz w:val="18"/>
              </w:rPr>
              <w:t>Title &amp; Venue</w:t>
            </w:r>
          </w:p>
        </w:tc>
        <w:tc>
          <w:tcPr>
            <w:tcW w:w="1296" w:type="dxa"/>
            <w:shd w:val="clear" w:color="auto" w:fill="1E3A8A"/>
          </w:tcPr>
          <w:p w14:paraId="51627C96" w14:textId="77777777" w:rsidR="00434EFE" w:rsidRDefault="00000000">
            <w:pPr>
              <w:spacing w:before="60" w:after="60"/>
              <w:jc w:val="center"/>
            </w:pPr>
            <w:r>
              <w:rPr>
                <w:b/>
                <w:color w:val="FFFFFF"/>
                <w:sz w:val="18"/>
              </w:rPr>
              <w:t>Dataset / Source</w:t>
            </w:r>
          </w:p>
        </w:tc>
        <w:tc>
          <w:tcPr>
            <w:tcW w:w="1296" w:type="dxa"/>
            <w:shd w:val="clear" w:color="auto" w:fill="1E3A8A"/>
          </w:tcPr>
          <w:p w14:paraId="4A5268A6" w14:textId="77777777" w:rsidR="00434EFE" w:rsidRDefault="00000000">
            <w:pPr>
              <w:spacing w:before="60" w:after="60"/>
              <w:jc w:val="center"/>
            </w:pPr>
            <w:r>
              <w:rPr>
                <w:b/>
                <w:color w:val="FFFFFF"/>
                <w:sz w:val="18"/>
              </w:rPr>
              <w:t>Phenotype Format</w:t>
            </w:r>
          </w:p>
        </w:tc>
        <w:tc>
          <w:tcPr>
            <w:tcW w:w="1296" w:type="dxa"/>
            <w:shd w:val="clear" w:color="auto" w:fill="1E3A8A"/>
          </w:tcPr>
          <w:p w14:paraId="56858032" w14:textId="77777777" w:rsidR="00434EFE" w:rsidRDefault="00000000">
            <w:pPr>
              <w:spacing w:before="60" w:after="60"/>
              <w:jc w:val="center"/>
            </w:pPr>
            <w:r>
              <w:rPr>
                <w:b/>
                <w:color w:val="FFFFFF"/>
                <w:sz w:val="18"/>
              </w:rPr>
              <w:t>Method</w:t>
            </w:r>
          </w:p>
        </w:tc>
        <w:tc>
          <w:tcPr>
            <w:tcW w:w="1440" w:type="dxa"/>
            <w:shd w:val="clear" w:color="auto" w:fill="1E3A8A"/>
          </w:tcPr>
          <w:p w14:paraId="5A93DA79" w14:textId="77777777" w:rsidR="00434EFE" w:rsidRDefault="00000000">
            <w:pPr>
              <w:spacing w:before="60" w:after="60"/>
              <w:jc w:val="center"/>
            </w:pPr>
            <w:r>
              <w:rPr>
                <w:b/>
                <w:color w:val="FFFFFF"/>
                <w:sz w:val="18"/>
              </w:rPr>
              <w:t>Main Contribution</w:t>
            </w:r>
          </w:p>
        </w:tc>
        <w:tc>
          <w:tcPr>
            <w:tcW w:w="1440" w:type="dxa"/>
            <w:shd w:val="clear" w:color="auto" w:fill="1E3A8A"/>
          </w:tcPr>
          <w:p w14:paraId="75314BC4" w14:textId="77777777" w:rsidR="00434EFE" w:rsidRDefault="00000000">
            <w:pPr>
              <w:spacing w:before="60" w:after="60"/>
              <w:jc w:val="center"/>
            </w:pPr>
            <w:r>
              <w:rPr>
                <w:b/>
                <w:color w:val="FFFFFF"/>
                <w:sz w:val="18"/>
              </w:rPr>
              <w:t>Similarity / Difference to RareDXAI</w:t>
            </w:r>
          </w:p>
        </w:tc>
      </w:tr>
      <w:tr w:rsidR="00434EFE" w14:paraId="539AD8F8" w14:textId="77777777">
        <w:trPr>
          <w:cantSplit/>
          <w:jc w:val="center"/>
        </w:trPr>
        <w:tc>
          <w:tcPr>
            <w:tcW w:w="864" w:type="dxa"/>
            <w:shd w:val="clear" w:color="auto" w:fill="FFFFFF"/>
          </w:tcPr>
          <w:p w14:paraId="1D7A9277" w14:textId="77777777" w:rsidR="00434EFE" w:rsidRDefault="00000000">
            <w:pPr>
              <w:spacing w:before="40" w:after="40"/>
            </w:pPr>
            <w:r>
              <w:rPr>
                <w:sz w:val="17"/>
              </w:rPr>
              <w:t>2022</w:t>
            </w:r>
          </w:p>
        </w:tc>
        <w:tc>
          <w:tcPr>
            <w:tcW w:w="1440" w:type="dxa"/>
            <w:shd w:val="clear" w:color="auto" w:fill="FFFFFF"/>
          </w:tcPr>
          <w:p w14:paraId="02519183" w14:textId="77777777" w:rsidR="00434EFE" w:rsidRDefault="00000000">
            <w:pPr>
              <w:spacing w:before="40" w:after="40"/>
              <w:jc w:val="center"/>
            </w:pPr>
            <w:r>
              <w:rPr>
                <w:sz w:val="17"/>
              </w:rPr>
              <w:t>Jacobsen et al.</w:t>
            </w:r>
          </w:p>
        </w:tc>
        <w:tc>
          <w:tcPr>
            <w:tcW w:w="1728" w:type="dxa"/>
            <w:shd w:val="clear" w:color="auto" w:fill="FFFFFF"/>
          </w:tcPr>
          <w:p w14:paraId="0E47FD80" w14:textId="77777777" w:rsidR="00434EFE" w:rsidRDefault="00000000">
            <w:pPr>
              <w:spacing w:before="40" w:after="40"/>
              <w:jc w:val="center"/>
            </w:pPr>
            <w:r>
              <w:rPr>
                <w:sz w:val="17"/>
              </w:rPr>
              <w:t>GA4GH Phenopacket schema (Nat Biotechnol)</w:t>
            </w:r>
          </w:p>
        </w:tc>
        <w:tc>
          <w:tcPr>
            <w:tcW w:w="1296" w:type="dxa"/>
            <w:shd w:val="clear" w:color="auto" w:fill="FFFFFF"/>
          </w:tcPr>
          <w:p w14:paraId="7AD4BFBC" w14:textId="77777777" w:rsidR="00434EFE" w:rsidRDefault="00000000">
            <w:pPr>
              <w:spacing w:before="40" w:after="40"/>
              <w:jc w:val="center"/>
            </w:pPr>
            <w:r>
              <w:rPr>
                <w:sz w:val="17"/>
              </w:rPr>
              <w:t>Global clinical repositories</w:t>
            </w:r>
          </w:p>
        </w:tc>
        <w:tc>
          <w:tcPr>
            <w:tcW w:w="1296" w:type="dxa"/>
            <w:shd w:val="clear" w:color="auto" w:fill="FFFFFF"/>
          </w:tcPr>
          <w:p w14:paraId="4ECC94E5" w14:textId="77777777" w:rsidR="00434EFE" w:rsidRDefault="00000000">
            <w:pPr>
              <w:spacing w:before="40" w:after="40"/>
              <w:jc w:val="center"/>
            </w:pPr>
            <w:r>
              <w:rPr>
                <w:sz w:val="17"/>
              </w:rPr>
              <w:t>Hierarchical HPO + GA4GH Schema</w:t>
            </w:r>
          </w:p>
        </w:tc>
        <w:tc>
          <w:tcPr>
            <w:tcW w:w="1296" w:type="dxa"/>
            <w:shd w:val="clear" w:color="auto" w:fill="FFFFFF"/>
          </w:tcPr>
          <w:p w14:paraId="1978E9F0" w14:textId="77777777" w:rsidR="00434EFE" w:rsidRDefault="00000000">
            <w:pPr>
              <w:spacing w:before="40" w:after="40"/>
              <w:jc w:val="center"/>
            </w:pPr>
            <w:r>
              <w:rPr>
                <w:sz w:val="17"/>
              </w:rPr>
              <w:t>ISO Standard (ISO 4454:2022)</w:t>
            </w:r>
          </w:p>
        </w:tc>
        <w:tc>
          <w:tcPr>
            <w:tcW w:w="1440" w:type="dxa"/>
            <w:shd w:val="clear" w:color="auto" w:fill="FFFFFF"/>
          </w:tcPr>
          <w:p w14:paraId="4EB3605F" w14:textId="77777777" w:rsidR="00434EFE" w:rsidRDefault="00000000">
            <w:pPr>
              <w:spacing w:before="40" w:after="40"/>
              <w:jc w:val="center"/>
            </w:pPr>
            <w:r>
              <w:rPr>
                <w:sz w:val="17"/>
              </w:rPr>
              <w:t>Standardized computable case report format</w:t>
            </w:r>
          </w:p>
        </w:tc>
        <w:tc>
          <w:tcPr>
            <w:tcW w:w="1440" w:type="dxa"/>
            <w:shd w:val="clear" w:color="auto" w:fill="FFFFFF"/>
          </w:tcPr>
          <w:p w14:paraId="52850197" w14:textId="77777777" w:rsidR="00434EFE" w:rsidRDefault="00000000">
            <w:pPr>
              <w:spacing w:before="40" w:after="40"/>
              <w:jc w:val="center"/>
            </w:pPr>
            <w:r>
              <w:rPr>
                <w:sz w:val="17"/>
              </w:rPr>
              <w:t>Conceptual basis for computable patient phenotyping</w:t>
            </w:r>
          </w:p>
        </w:tc>
      </w:tr>
      <w:tr w:rsidR="00434EFE" w14:paraId="74B36AFA" w14:textId="77777777">
        <w:trPr>
          <w:cantSplit/>
          <w:jc w:val="center"/>
        </w:trPr>
        <w:tc>
          <w:tcPr>
            <w:tcW w:w="864" w:type="dxa"/>
            <w:shd w:val="clear" w:color="auto" w:fill="F8FAFC"/>
          </w:tcPr>
          <w:p w14:paraId="76827722" w14:textId="77777777" w:rsidR="00434EFE" w:rsidRDefault="00000000">
            <w:pPr>
              <w:spacing w:before="40" w:after="40"/>
            </w:pPr>
            <w:r>
              <w:rPr>
                <w:sz w:val="17"/>
              </w:rPr>
              <w:t>2023</w:t>
            </w:r>
          </w:p>
        </w:tc>
        <w:tc>
          <w:tcPr>
            <w:tcW w:w="1440" w:type="dxa"/>
            <w:shd w:val="clear" w:color="auto" w:fill="F8FAFC"/>
          </w:tcPr>
          <w:p w14:paraId="062159C7" w14:textId="77777777" w:rsidR="00434EFE" w:rsidRDefault="00000000">
            <w:pPr>
              <w:spacing w:before="40" w:after="40"/>
              <w:jc w:val="center"/>
            </w:pPr>
            <w:r>
              <w:rPr>
                <w:sz w:val="17"/>
              </w:rPr>
              <w:t>Ladewig et al.</w:t>
            </w:r>
          </w:p>
        </w:tc>
        <w:tc>
          <w:tcPr>
            <w:tcW w:w="1728" w:type="dxa"/>
            <w:shd w:val="clear" w:color="auto" w:fill="F8FAFC"/>
          </w:tcPr>
          <w:p w14:paraId="487DD5AC" w14:textId="77777777" w:rsidR="00434EFE" w:rsidRDefault="00000000">
            <w:pPr>
              <w:spacing w:before="40" w:after="40"/>
              <w:jc w:val="center"/>
            </w:pPr>
            <w:r>
              <w:rPr>
                <w:sz w:val="17"/>
              </w:rPr>
              <w:t>Phenopacket Store (Database)</w:t>
            </w:r>
          </w:p>
        </w:tc>
        <w:tc>
          <w:tcPr>
            <w:tcW w:w="1296" w:type="dxa"/>
            <w:shd w:val="clear" w:color="auto" w:fill="F8FAFC"/>
          </w:tcPr>
          <w:p w14:paraId="1E7B1209" w14:textId="77777777" w:rsidR="00434EFE" w:rsidRDefault="00000000">
            <w:pPr>
              <w:spacing w:before="40" w:after="40"/>
              <w:jc w:val="center"/>
            </w:pPr>
            <w:r>
              <w:rPr>
                <w:sz w:val="17"/>
              </w:rPr>
              <w:t>Case reports from published literature</w:t>
            </w:r>
          </w:p>
        </w:tc>
        <w:tc>
          <w:tcPr>
            <w:tcW w:w="1296" w:type="dxa"/>
            <w:shd w:val="clear" w:color="auto" w:fill="F8FAFC"/>
          </w:tcPr>
          <w:p w14:paraId="726FA1FB" w14:textId="77777777" w:rsidR="00434EFE" w:rsidRDefault="00000000">
            <w:pPr>
              <w:spacing w:before="40" w:after="40"/>
              <w:jc w:val="center"/>
            </w:pPr>
            <w:r>
              <w:rPr>
                <w:sz w:val="17"/>
              </w:rPr>
              <w:t>Curated patient-level HPO profiles</w:t>
            </w:r>
          </w:p>
        </w:tc>
        <w:tc>
          <w:tcPr>
            <w:tcW w:w="1296" w:type="dxa"/>
            <w:shd w:val="clear" w:color="auto" w:fill="F8FAFC"/>
          </w:tcPr>
          <w:p w14:paraId="3FA61BA9" w14:textId="77777777" w:rsidR="00434EFE" w:rsidRDefault="00000000">
            <w:pPr>
              <w:spacing w:before="40" w:after="40"/>
              <w:jc w:val="center"/>
            </w:pPr>
            <w:r>
              <w:rPr>
                <w:sz w:val="17"/>
              </w:rPr>
              <w:t>Curated case repository &amp; validation tools</w:t>
            </w:r>
          </w:p>
        </w:tc>
        <w:tc>
          <w:tcPr>
            <w:tcW w:w="1440" w:type="dxa"/>
            <w:shd w:val="clear" w:color="auto" w:fill="F8FAFC"/>
          </w:tcPr>
          <w:p w14:paraId="627FF770" w14:textId="77777777" w:rsidR="00434EFE" w:rsidRDefault="00000000">
            <w:pPr>
              <w:spacing w:before="40" w:after="40"/>
              <w:jc w:val="center"/>
            </w:pPr>
            <w:r>
              <w:rPr>
                <w:sz w:val="17"/>
              </w:rPr>
              <w:t>Mined thousands of literature cases into HPO Phenopackets</w:t>
            </w:r>
          </w:p>
        </w:tc>
        <w:tc>
          <w:tcPr>
            <w:tcW w:w="1440" w:type="dxa"/>
            <w:shd w:val="clear" w:color="auto" w:fill="F8FAFC"/>
          </w:tcPr>
          <w:p w14:paraId="624463BE" w14:textId="77777777" w:rsidR="00434EFE" w:rsidRDefault="00000000">
            <w:pPr>
              <w:spacing w:before="40" w:after="40"/>
              <w:jc w:val="center"/>
            </w:pPr>
            <w:r>
              <w:rPr>
                <w:sz w:val="17"/>
              </w:rPr>
              <w:t>Closest methodological precedent; RareDXAI adds focused 3-class ML calibration &amp; SHAP</w:t>
            </w:r>
          </w:p>
        </w:tc>
      </w:tr>
      <w:tr w:rsidR="00434EFE" w14:paraId="4E42A7B8" w14:textId="77777777">
        <w:trPr>
          <w:cantSplit/>
          <w:jc w:val="center"/>
        </w:trPr>
        <w:tc>
          <w:tcPr>
            <w:tcW w:w="864" w:type="dxa"/>
            <w:shd w:val="clear" w:color="auto" w:fill="FFFFFF"/>
          </w:tcPr>
          <w:p w14:paraId="221BFBCC" w14:textId="77777777" w:rsidR="00434EFE" w:rsidRDefault="00000000">
            <w:pPr>
              <w:spacing w:before="40" w:after="40"/>
            </w:pPr>
            <w:r>
              <w:rPr>
                <w:sz w:val="17"/>
              </w:rPr>
              <w:t>2024</w:t>
            </w:r>
          </w:p>
        </w:tc>
        <w:tc>
          <w:tcPr>
            <w:tcW w:w="1440" w:type="dxa"/>
            <w:shd w:val="clear" w:color="auto" w:fill="FFFFFF"/>
          </w:tcPr>
          <w:p w14:paraId="26978811" w14:textId="77777777" w:rsidR="00434EFE" w:rsidRDefault="00000000">
            <w:pPr>
              <w:spacing w:before="40" w:after="40"/>
              <w:jc w:val="center"/>
            </w:pPr>
            <w:r>
              <w:rPr>
                <w:sz w:val="17"/>
              </w:rPr>
              <w:t>Gargano et al.</w:t>
            </w:r>
          </w:p>
        </w:tc>
        <w:tc>
          <w:tcPr>
            <w:tcW w:w="1728" w:type="dxa"/>
            <w:shd w:val="clear" w:color="auto" w:fill="FFFFFF"/>
          </w:tcPr>
          <w:p w14:paraId="1E4BCE8B" w14:textId="77777777" w:rsidR="00434EFE" w:rsidRDefault="00000000">
            <w:pPr>
              <w:spacing w:before="40" w:after="40"/>
              <w:jc w:val="center"/>
            </w:pPr>
            <w:r>
              <w:rPr>
                <w:sz w:val="17"/>
              </w:rPr>
              <w:t>HPO in 2024 (Nucleic Acids Res)</w:t>
            </w:r>
          </w:p>
        </w:tc>
        <w:tc>
          <w:tcPr>
            <w:tcW w:w="1296" w:type="dxa"/>
            <w:shd w:val="clear" w:color="auto" w:fill="FFFFFF"/>
          </w:tcPr>
          <w:p w14:paraId="5D3F6038" w14:textId="77777777" w:rsidR="00434EFE" w:rsidRDefault="00000000">
            <w:pPr>
              <w:spacing w:before="40" w:after="40"/>
              <w:jc w:val="center"/>
            </w:pPr>
            <w:r>
              <w:rPr>
                <w:sz w:val="17"/>
              </w:rPr>
              <w:t>HPO International Consortium</w:t>
            </w:r>
          </w:p>
        </w:tc>
        <w:tc>
          <w:tcPr>
            <w:tcW w:w="1296" w:type="dxa"/>
            <w:shd w:val="clear" w:color="auto" w:fill="FFFFFF"/>
          </w:tcPr>
          <w:p w14:paraId="635B273F" w14:textId="77777777" w:rsidR="00434EFE" w:rsidRDefault="00000000">
            <w:pPr>
              <w:spacing w:before="40" w:after="40"/>
              <w:jc w:val="center"/>
            </w:pPr>
            <w:r>
              <w:rPr>
                <w:sz w:val="17"/>
              </w:rPr>
              <w:t>Controlled vocabulary (&gt;16,000 terms)</w:t>
            </w:r>
          </w:p>
        </w:tc>
        <w:tc>
          <w:tcPr>
            <w:tcW w:w="1296" w:type="dxa"/>
            <w:shd w:val="clear" w:color="auto" w:fill="FFFFFF"/>
          </w:tcPr>
          <w:p w14:paraId="3AFD9319" w14:textId="77777777" w:rsidR="00434EFE" w:rsidRDefault="00000000">
            <w:pPr>
              <w:spacing w:before="40" w:after="40"/>
              <w:jc w:val="center"/>
            </w:pPr>
            <w:r>
              <w:rPr>
                <w:sz w:val="17"/>
              </w:rPr>
              <w:t>Knowledge graph structures</w:t>
            </w:r>
          </w:p>
        </w:tc>
        <w:tc>
          <w:tcPr>
            <w:tcW w:w="1440" w:type="dxa"/>
            <w:shd w:val="clear" w:color="auto" w:fill="FFFFFF"/>
          </w:tcPr>
          <w:p w14:paraId="2D00FF8C" w14:textId="77777777" w:rsidR="00434EFE" w:rsidRDefault="00000000">
            <w:pPr>
              <w:spacing w:before="40" w:after="40"/>
              <w:jc w:val="center"/>
            </w:pPr>
            <w:r>
              <w:rPr>
                <w:sz w:val="17"/>
              </w:rPr>
              <w:t>Expanded definitions &amp; disease annotations</w:t>
            </w:r>
          </w:p>
        </w:tc>
        <w:tc>
          <w:tcPr>
            <w:tcW w:w="1440" w:type="dxa"/>
            <w:shd w:val="clear" w:color="auto" w:fill="FFFFFF"/>
          </w:tcPr>
          <w:p w14:paraId="1A58730E" w14:textId="77777777" w:rsidR="00434EFE" w:rsidRDefault="00000000">
            <w:pPr>
              <w:spacing w:before="40" w:after="40"/>
              <w:jc w:val="center"/>
            </w:pPr>
            <w:r>
              <w:rPr>
                <w:sz w:val="17"/>
              </w:rPr>
              <w:t>Source of canonical terminology (Release 2026-06-23)</w:t>
            </w:r>
          </w:p>
        </w:tc>
      </w:tr>
      <w:tr w:rsidR="00434EFE" w14:paraId="2892CA89" w14:textId="77777777">
        <w:trPr>
          <w:cantSplit/>
          <w:jc w:val="center"/>
        </w:trPr>
        <w:tc>
          <w:tcPr>
            <w:tcW w:w="864" w:type="dxa"/>
            <w:shd w:val="clear" w:color="auto" w:fill="F8FAFC"/>
          </w:tcPr>
          <w:p w14:paraId="6E290A31" w14:textId="77777777" w:rsidR="00434EFE" w:rsidRDefault="00000000">
            <w:pPr>
              <w:spacing w:before="40" w:after="40"/>
            </w:pPr>
            <w:r>
              <w:rPr>
                <w:sz w:val="17"/>
              </w:rPr>
              <w:t>2021</w:t>
            </w:r>
          </w:p>
        </w:tc>
        <w:tc>
          <w:tcPr>
            <w:tcW w:w="1440" w:type="dxa"/>
            <w:shd w:val="clear" w:color="auto" w:fill="F8FAFC"/>
          </w:tcPr>
          <w:p w14:paraId="3778FD87" w14:textId="77777777" w:rsidR="00434EFE" w:rsidRDefault="00000000">
            <w:pPr>
              <w:spacing w:before="40" w:after="40"/>
              <w:jc w:val="center"/>
            </w:pPr>
            <w:r>
              <w:rPr>
                <w:sz w:val="17"/>
              </w:rPr>
              <w:t>Köhler et al.</w:t>
            </w:r>
          </w:p>
        </w:tc>
        <w:tc>
          <w:tcPr>
            <w:tcW w:w="1728" w:type="dxa"/>
            <w:shd w:val="clear" w:color="auto" w:fill="F8FAFC"/>
          </w:tcPr>
          <w:p w14:paraId="37A2E41C" w14:textId="77777777" w:rsidR="00434EFE" w:rsidRDefault="00000000">
            <w:pPr>
              <w:spacing w:before="40" w:after="40"/>
              <w:jc w:val="center"/>
            </w:pPr>
            <w:r>
              <w:rPr>
                <w:sz w:val="17"/>
              </w:rPr>
              <w:t>HPO in 2021 (Nucleic Acids Res)</w:t>
            </w:r>
          </w:p>
        </w:tc>
        <w:tc>
          <w:tcPr>
            <w:tcW w:w="1296" w:type="dxa"/>
            <w:shd w:val="clear" w:color="auto" w:fill="F8FAFC"/>
          </w:tcPr>
          <w:p w14:paraId="7F15C542" w14:textId="77777777" w:rsidR="00434EFE" w:rsidRDefault="00000000">
            <w:pPr>
              <w:spacing w:before="40" w:after="40"/>
              <w:jc w:val="center"/>
            </w:pPr>
            <w:r>
              <w:rPr>
                <w:sz w:val="17"/>
              </w:rPr>
              <w:t>Rare disease clinical databases</w:t>
            </w:r>
          </w:p>
        </w:tc>
        <w:tc>
          <w:tcPr>
            <w:tcW w:w="1296" w:type="dxa"/>
            <w:shd w:val="clear" w:color="auto" w:fill="F8FAFC"/>
          </w:tcPr>
          <w:p w14:paraId="013D72EF" w14:textId="77777777" w:rsidR="00434EFE" w:rsidRDefault="00000000">
            <w:pPr>
              <w:spacing w:before="40" w:after="40"/>
              <w:jc w:val="center"/>
            </w:pPr>
            <w:r>
              <w:rPr>
                <w:sz w:val="17"/>
              </w:rPr>
              <w:t>Directed acyclic graph of HPO</w:t>
            </w:r>
          </w:p>
        </w:tc>
        <w:tc>
          <w:tcPr>
            <w:tcW w:w="1296" w:type="dxa"/>
            <w:shd w:val="clear" w:color="auto" w:fill="F8FAFC"/>
          </w:tcPr>
          <w:p w14:paraId="2D6EFB57" w14:textId="77777777" w:rsidR="00434EFE" w:rsidRDefault="00000000">
            <w:pPr>
              <w:spacing w:before="40" w:after="40"/>
              <w:jc w:val="center"/>
            </w:pPr>
            <w:r>
              <w:rPr>
                <w:sz w:val="17"/>
              </w:rPr>
              <w:t>Semantic similarity algorithms</w:t>
            </w:r>
          </w:p>
        </w:tc>
        <w:tc>
          <w:tcPr>
            <w:tcW w:w="1440" w:type="dxa"/>
            <w:shd w:val="clear" w:color="auto" w:fill="F8FAFC"/>
          </w:tcPr>
          <w:p w14:paraId="15ACFB25" w14:textId="77777777" w:rsidR="00434EFE" w:rsidRDefault="00000000">
            <w:pPr>
              <w:spacing w:before="40" w:after="40"/>
              <w:jc w:val="center"/>
            </w:pPr>
            <w:r>
              <w:rPr>
                <w:sz w:val="17"/>
              </w:rPr>
              <w:t>Foundation for standardized computational phenomics</w:t>
            </w:r>
          </w:p>
        </w:tc>
        <w:tc>
          <w:tcPr>
            <w:tcW w:w="1440" w:type="dxa"/>
            <w:shd w:val="clear" w:color="auto" w:fill="F8FAFC"/>
          </w:tcPr>
          <w:p w14:paraId="282B84CF" w14:textId="77777777" w:rsidR="00434EFE" w:rsidRDefault="00000000">
            <w:pPr>
              <w:spacing w:before="40" w:after="40"/>
              <w:jc w:val="center"/>
            </w:pPr>
            <w:r>
              <w:rPr>
                <w:sz w:val="17"/>
              </w:rPr>
              <w:t>Baseline ontology structure for feature mapping</w:t>
            </w:r>
          </w:p>
        </w:tc>
      </w:tr>
      <w:tr w:rsidR="00434EFE" w14:paraId="3C4B4A0E" w14:textId="77777777">
        <w:trPr>
          <w:cantSplit/>
          <w:jc w:val="center"/>
        </w:trPr>
        <w:tc>
          <w:tcPr>
            <w:tcW w:w="864" w:type="dxa"/>
            <w:shd w:val="clear" w:color="auto" w:fill="FFFFFF"/>
          </w:tcPr>
          <w:p w14:paraId="2270B6FC" w14:textId="77777777" w:rsidR="00434EFE" w:rsidRDefault="00000000">
            <w:pPr>
              <w:spacing w:before="40" w:after="40"/>
            </w:pPr>
            <w:r>
              <w:rPr>
                <w:sz w:val="17"/>
              </w:rPr>
              <w:t>2020</w:t>
            </w:r>
          </w:p>
        </w:tc>
        <w:tc>
          <w:tcPr>
            <w:tcW w:w="1440" w:type="dxa"/>
            <w:shd w:val="clear" w:color="auto" w:fill="FFFFFF"/>
          </w:tcPr>
          <w:p w14:paraId="5928AF22" w14:textId="77777777" w:rsidR="00434EFE" w:rsidRDefault="00000000">
            <w:pPr>
              <w:spacing w:before="40" w:after="40"/>
              <w:jc w:val="center"/>
            </w:pPr>
            <w:r>
              <w:rPr>
                <w:sz w:val="17"/>
              </w:rPr>
              <w:t>Robinson et al.</w:t>
            </w:r>
          </w:p>
        </w:tc>
        <w:tc>
          <w:tcPr>
            <w:tcW w:w="1728" w:type="dxa"/>
            <w:shd w:val="clear" w:color="auto" w:fill="FFFFFF"/>
          </w:tcPr>
          <w:p w14:paraId="08D39BC9" w14:textId="77777777" w:rsidR="00434EFE" w:rsidRDefault="00000000">
            <w:pPr>
              <w:spacing w:before="40" w:after="40"/>
              <w:jc w:val="center"/>
            </w:pPr>
            <w:r>
              <w:rPr>
                <w:sz w:val="17"/>
              </w:rPr>
              <w:t>LIRICAL (Am J Hum Genet)</w:t>
            </w:r>
          </w:p>
        </w:tc>
        <w:tc>
          <w:tcPr>
            <w:tcW w:w="1296" w:type="dxa"/>
            <w:shd w:val="clear" w:color="auto" w:fill="FFFFFF"/>
          </w:tcPr>
          <w:p w14:paraId="390C2385" w14:textId="77777777" w:rsidR="00434EFE" w:rsidRDefault="00000000">
            <w:pPr>
              <w:spacing w:before="40" w:after="40"/>
              <w:jc w:val="center"/>
            </w:pPr>
            <w:r>
              <w:rPr>
                <w:sz w:val="17"/>
              </w:rPr>
              <w:t>Real clinical cases &amp; simulations</w:t>
            </w:r>
          </w:p>
        </w:tc>
        <w:tc>
          <w:tcPr>
            <w:tcW w:w="1296" w:type="dxa"/>
            <w:shd w:val="clear" w:color="auto" w:fill="FFFFFF"/>
          </w:tcPr>
          <w:p w14:paraId="21BB7352" w14:textId="77777777" w:rsidR="00434EFE" w:rsidRDefault="00000000">
            <w:pPr>
              <w:spacing w:before="40" w:after="40"/>
              <w:jc w:val="center"/>
            </w:pPr>
            <w:r>
              <w:rPr>
                <w:sz w:val="17"/>
              </w:rPr>
              <w:t>Observed &amp; excluded HPO terms</w:t>
            </w:r>
          </w:p>
        </w:tc>
        <w:tc>
          <w:tcPr>
            <w:tcW w:w="1296" w:type="dxa"/>
            <w:shd w:val="clear" w:color="auto" w:fill="FFFFFF"/>
          </w:tcPr>
          <w:p w14:paraId="2F43C7A3" w14:textId="77777777" w:rsidR="00434EFE" w:rsidRDefault="00000000">
            <w:pPr>
              <w:spacing w:before="40" w:after="40"/>
              <w:jc w:val="center"/>
            </w:pPr>
            <w:r>
              <w:rPr>
                <w:sz w:val="17"/>
              </w:rPr>
              <w:t>Likelihood ratio &amp; Bayesian inference</w:t>
            </w:r>
          </w:p>
        </w:tc>
        <w:tc>
          <w:tcPr>
            <w:tcW w:w="1440" w:type="dxa"/>
            <w:shd w:val="clear" w:color="auto" w:fill="FFFFFF"/>
          </w:tcPr>
          <w:p w14:paraId="564E908E" w14:textId="77777777" w:rsidR="00434EFE" w:rsidRDefault="00000000">
            <w:pPr>
              <w:spacing w:before="40" w:after="40"/>
              <w:jc w:val="center"/>
            </w:pPr>
            <w:r>
              <w:rPr>
                <w:sz w:val="17"/>
              </w:rPr>
              <w:t>Interpretable diagnostic odds for genomic phenotypes</w:t>
            </w:r>
          </w:p>
        </w:tc>
        <w:tc>
          <w:tcPr>
            <w:tcW w:w="1440" w:type="dxa"/>
            <w:shd w:val="clear" w:color="auto" w:fill="FFFFFF"/>
          </w:tcPr>
          <w:p w14:paraId="1F0C7759" w14:textId="77777777" w:rsidR="00434EFE" w:rsidRDefault="00000000">
            <w:pPr>
              <w:spacing w:before="40" w:after="40"/>
              <w:jc w:val="center"/>
            </w:pPr>
            <w:r>
              <w:rPr>
                <w:sz w:val="17"/>
              </w:rPr>
              <w:t>Supports interpretable decision support framework</w:t>
            </w:r>
          </w:p>
        </w:tc>
      </w:tr>
      <w:tr w:rsidR="00434EFE" w14:paraId="44F8BF07" w14:textId="77777777">
        <w:trPr>
          <w:cantSplit/>
          <w:jc w:val="center"/>
        </w:trPr>
        <w:tc>
          <w:tcPr>
            <w:tcW w:w="864" w:type="dxa"/>
            <w:shd w:val="clear" w:color="auto" w:fill="F8FAFC"/>
          </w:tcPr>
          <w:p w14:paraId="2F64C1D2" w14:textId="77777777" w:rsidR="00434EFE" w:rsidRDefault="00000000">
            <w:pPr>
              <w:spacing w:before="40" w:after="40"/>
            </w:pPr>
            <w:r>
              <w:rPr>
                <w:sz w:val="17"/>
              </w:rPr>
              <w:t>2020</w:t>
            </w:r>
          </w:p>
        </w:tc>
        <w:tc>
          <w:tcPr>
            <w:tcW w:w="1440" w:type="dxa"/>
            <w:shd w:val="clear" w:color="auto" w:fill="F8FAFC"/>
          </w:tcPr>
          <w:p w14:paraId="476C5ABF" w14:textId="77777777" w:rsidR="00434EFE" w:rsidRDefault="00000000">
            <w:pPr>
              <w:spacing w:before="40" w:after="40"/>
              <w:jc w:val="center"/>
            </w:pPr>
            <w:r>
              <w:rPr>
                <w:sz w:val="17"/>
              </w:rPr>
              <w:t>Birgmeier et al.</w:t>
            </w:r>
          </w:p>
        </w:tc>
        <w:tc>
          <w:tcPr>
            <w:tcW w:w="1728" w:type="dxa"/>
            <w:shd w:val="clear" w:color="auto" w:fill="F8FAFC"/>
          </w:tcPr>
          <w:p w14:paraId="22E239D7" w14:textId="77777777" w:rsidR="00434EFE" w:rsidRDefault="00000000">
            <w:pPr>
              <w:spacing w:before="40" w:after="40"/>
              <w:jc w:val="center"/>
            </w:pPr>
            <w:r>
              <w:rPr>
                <w:sz w:val="17"/>
              </w:rPr>
              <w:t>AMELIE (Sci Transl Med)</w:t>
            </w:r>
          </w:p>
        </w:tc>
        <w:tc>
          <w:tcPr>
            <w:tcW w:w="1296" w:type="dxa"/>
            <w:shd w:val="clear" w:color="auto" w:fill="F8FAFC"/>
          </w:tcPr>
          <w:p w14:paraId="5BD1A886" w14:textId="77777777" w:rsidR="00434EFE" w:rsidRDefault="00000000">
            <w:pPr>
              <w:spacing w:before="40" w:after="40"/>
              <w:jc w:val="center"/>
            </w:pPr>
            <w:r>
              <w:rPr>
                <w:sz w:val="17"/>
              </w:rPr>
              <w:t>138,000+ primary literature papers</w:t>
            </w:r>
          </w:p>
        </w:tc>
        <w:tc>
          <w:tcPr>
            <w:tcW w:w="1296" w:type="dxa"/>
            <w:shd w:val="clear" w:color="auto" w:fill="F8FAFC"/>
          </w:tcPr>
          <w:p w14:paraId="153AF818" w14:textId="77777777" w:rsidR="00434EFE" w:rsidRDefault="00000000">
            <w:pPr>
              <w:spacing w:before="40" w:after="40"/>
              <w:jc w:val="center"/>
            </w:pPr>
            <w:r>
              <w:rPr>
                <w:sz w:val="17"/>
              </w:rPr>
              <w:t>HPO concept extraction</w:t>
            </w:r>
          </w:p>
        </w:tc>
        <w:tc>
          <w:tcPr>
            <w:tcW w:w="1296" w:type="dxa"/>
            <w:shd w:val="clear" w:color="auto" w:fill="F8FAFC"/>
          </w:tcPr>
          <w:p w14:paraId="124C7B47" w14:textId="77777777" w:rsidR="00434EFE" w:rsidRDefault="00000000">
            <w:pPr>
              <w:spacing w:before="40" w:after="40"/>
              <w:jc w:val="center"/>
            </w:pPr>
            <w:r>
              <w:rPr>
                <w:sz w:val="17"/>
              </w:rPr>
              <w:t>Supervised machine learning &amp; NLP</w:t>
            </w:r>
          </w:p>
        </w:tc>
        <w:tc>
          <w:tcPr>
            <w:tcW w:w="1440" w:type="dxa"/>
            <w:shd w:val="clear" w:color="auto" w:fill="F8FAFC"/>
          </w:tcPr>
          <w:p w14:paraId="1B21FC02" w14:textId="77777777" w:rsidR="00434EFE" w:rsidRDefault="00000000">
            <w:pPr>
              <w:spacing w:before="40" w:after="40"/>
              <w:jc w:val="center"/>
            </w:pPr>
            <w:r>
              <w:rPr>
                <w:sz w:val="17"/>
              </w:rPr>
              <w:t>Automated matching of patient HPO profiles to literature</w:t>
            </w:r>
          </w:p>
        </w:tc>
        <w:tc>
          <w:tcPr>
            <w:tcW w:w="1440" w:type="dxa"/>
            <w:shd w:val="clear" w:color="auto" w:fill="F8FAFC"/>
          </w:tcPr>
          <w:p w14:paraId="01CD8876" w14:textId="77777777" w:rsidR="00434EFE" w:rsidRDefault="00000000">
            <w:pPr>
              <w:spacing w:before="40" w:after="40"/>
              <w:jc w:val="center"/>
            </w:pPr>
            <w:r>
              <w:rPr>
                <w:sz w:val="17"/>
              </w:rPr>
              <w:t>Confirms viability of literature-derived patient matching</w:t>
            </w:r>
          </w:p>
        </w:tc>
      </w:tr>
      <w:tr w:rsidR="00434EFE" w14:paraId="7CAC253F" w14:textId="77777777">
        <w:trPr>
          <w:cantSplit/>
          <w:jc w:val="center"/>
        </w:trPr>
        <w:tc>
          <w:tcPr>
            <w:tcW w:w="864" w:type="dxa"/>
            <w:shd w:val="clear" w:color="auto" w:fill="FFFFFF"/>
          </w:tcPr>
          <w:p w14:paraId="15C5572D" w14:textId="77777777" w:rsidR="00434EFE" w:rsidRDefault="00000000">
            <w:pPr>
              <w:spacing w:before="40" w:after="40"/>
            </w:pPr>
            <w:r>
              <w:rPr>
                <w:sz w:val="17"/>
              </w:rPr>
              <w:t>2021</w:t>
            </w:r>
          </w:p>
        </w:tc>
        <w:tc>
          <w:tcPr>
            <w:tcW w:w="1440" w:type="dxa"/>
            <w:shd w:val="clear" w:color="auto" w:fill="FFFFFF"/>
          </w:tcPr>
          <w:p w14:paraId="4EAE057B" w14:textId="77777777" w:rsidR="00434EFE" w:rsidRDefault="00000000">
            <w:pPr>
              <w:spacing w:before="40" w:after="40"/>
              <w:jc w:val="center"/>
            </w:pPr>
            <w:r>
              <w:rPr>
                <w:sz w:val="17"/>
              </w:rPr>
              <w:t>Feng et al.</w:t>
            </w:r>
          </w:p>
        </w:tc>
        <w:tc>
          <w:tcPr>
            <w:tcW w:w="1728" w:type="dxa"/>
            <w:shd w:val="clear" w:color="auto" w:fill="FFFFFF"/>
          </w:tcPr>
          <w:p w14:paraId="05151901" w14:textId="77777777" w:rsidR="00434EFE" w:rsidRDefault="00000000">
            <w:pPr>
              <w:spacing w:before="40" w:after="40"/>
              <w:jc w:val="center"/>
            </w:pPr>
            <w:r>
              <w:rPr>
                <w:sz w:val="17"/>
              </w:rPr>
              <w:t>PhenoTagger (Bioinformatics)</w:t>
            </w:r>
          </w:p>
        </w:tc>
        <w:tc>
          <w:tcPr>
            <w:tcW w:w="1296" w:type="dxa"/>
            <w:shd w:val="clear" w:color="auto" w:fill="FFFFFF"/>
          </w:tcPr>
          <w:p w14:paraId="156CDC42" w14:textId="77777777" w:rsidR="00434EFE" w:rsidRDefault="00000000">
            <w:pPr>
              <w:spacing w:before="40" w:after="40"/>
              <w:jc w:val="center"/>
            </w:pPr>
            <w:r>
              <w:rPr>
                <w:sz w:val="17"/>
              </w:rPr>
              <w:t>PubMed Central text corpora</w:t>
            </w:r>
          </w:p>
        </w:tc>
        <w:tc>
          <w:tcPr>
            <w:tcW w:w="1296" w:type="dxa"/>
            <w:shd w:val="clear" w:color="auto" w:fill="FFFFFF"/>
          </w:tcPr>
          <w:p w14:paraId="0C4A9FDB" w14:textId="77777777" w:rsidR="00434EFE" w:rsidRDefault="00000000">
            <w:pPr>
              <w:spacing w:before="40" w:after="40"/>
              <w:jc w:val="center"/>
            </w:pPr>
            <w:r>
              <w:rPr>
                <w:sz w:val="17"/>
              </w:rPr>
              <w:t>Standardized HPO concept tagging</w:t>
            </w:r>
          </w:p>
        </w:tc>
        <w:tc>
          <w:tcPr>
            <w:tcW w:w="1296" w:type="dxa"/>
            <w:shd w:val="clear" w:color="auto" w:fill="FFFFFF"/>
          </w:tcPr>
          <w:p w14:paraId="25E339CD" w14:textId="77777777" w:rsidR="00434EFE" w:rsidRDefault="00000000">
            <w:pPr>
              <w:spacing w:before="40" w:after="40"/>
              <w:jc w:val="center"/>
            </w:pPr>
            <w:r>
              <w:rPr>
                <w:sz w:val="17"/>
              </w:rPr>
              <w:t>Hybrid CNN + dictionary indexing</w:t>
            </w:r>
          </w:p>
        </w:tc>
        <w:tc>
          <w:tcPr>
            <w:tcW w:w="1440" w:type="dxa"/>
            <w:shd w:val="clear" w:color="auto" w:fill="FFFFFF"/>
          </w:tcPr>
          <w:p w14:paraId="192D2B84" w14:textId="77777777" w:rsidR="00434EFE" w:rsidRDefault="00000000">
            <w:pPr>
              <w:spacing w:before="40" w:after="40"/>
              <w:jc w:val="center"/>
            </w:pPr>
            <w:r>
              <w:rPr>
                <w:sz w:val="17"/>
              </w:rPr>
              <w:t>High-precision automated concept recognition</w:t>
            </w:r>
          </w:p>
        </w:tc>
        <w:tc>
          <w:tcPr>
            <w:tcW w:w="1440" w:type="dxa"/>
            <w:shd w:val="clear" w:color="auto" w:fill="FFFFFF"/>
          </w:tcPr>
          <w:p w14:paraId="74EB29B6" w14:textId="77777777" w:rsidR="00434EFE" w:rsidRDefault="00000000">
            <w:pPr>
              <w:spacing w:before="40" w:after="40"/>
              <w:jc w:val="center"/>
            </w:pPr>
            <w:r>
              <w:rPr>
                <w:sz w:val="17"/>
              </w:rPr>
              <w:t>Informs text-to-HPO concept mapping strategies</w:t>
            </w:r>
          </w:p>
        </w:tc>
      </w:tr>
      <w:tr w:rsidR="00434EFE" w14:paraId="0240B1E2" w14:textId="77777777">
        <w:trPr>
          <w:cantSplit/>
          <w:jc w:val="center"/>
        </w:trPr>
        <w:tc>
          <w:tcPr>
            <w:tcW w:w="864" w:type="dxa"/>
            <w:shd w:val="clear" w:color="auto" w:fill="F8FAFC"/>
          </w:tcPr>
          <w:p w14:paraId="731DE515" w14:textId="77777777" w:rsidR="00434EFE" w:rsidRDefault="00000000">
            <w:pPr>
              <w:spacing w:before="40" w:after="40"/>
            </w:pPr>
            <w:r>
              <w:rPr>
                <w:sz w:val="17"/>
              </w:rPr>
              <w:t>2020</w:t>
            </w:r>
          </w:p>
        </w:tc>
        <w:tc>
          <w:tcPr>
            <w:tcW w:w="1440" w:type="dxa"/>
            <w:shd w:val="clear" w:color="auto" w:fill="F8FAFC"/>
          </w:tcPr>
          <w:p w14:paraId="5CEA58EE" w14:textId="77777777" w:rsidR="00434EFE" w:rsidRDefault="00000000">
            <w:pPr>
              <w:spacing w:before="40" w:after="40"/>
              <w:jc w:val="center"/>
            </w:pPr>
            <w:r>
              <w:rPr>
                <w:sz w:val="17"/>
              </w:rPr>
              <w:t>Liu et al.</w:t>
            </w:r>
          </w:p>
        </w:tc>
        <w:tc>
          <w:tcPr>
            <w:tcW w:w="1728" w:type="dxa"/>
            <w:shd w:val="clear" w:color="auto" w:fill="F8FAFC"/>
          </w:tcPr>
          <w:p w14:paraId="25627782" w14:textId="77777777" w:rsidR="00434EFE" w:rsidRDefault="00000000">
            <w:pPr>
              <w:spacing w:before="40" w:after="40"/>
              <w:jc w:val="center"/>
            </w:pPr>
            <w:r>
              <w:rPr>
                <w:sz w:val="17"/>
              </w:rPr>
              <w:t>Doc2HPO (BMC Bioinformatics)</w:t>
            </w:r>
          </w:p>
        </w:tc>
        <w:tc>
          <w:tcPr>
            <w:tcW w:w="1296" w:type="dxa"/>
            <w:shd w:val="clear" w:color="auto" w:fill="F8FAFC"/>
          </w:tcPr>
          <w:p w14:paraId="4D8F6FEC" w14:textId="77777777" w:rsidR="00434EFE" w:rsidRDefault="00000000">
            <w:pPr>
              <w:spacing w:before="40" w:after="40"/>
              <w:jc w:val="center"/>
            </w:pPr>
            <w:r>
              <w:rPr>
                <w:sz w:val="17"/>
              </w:rPr>
              <w:t>Unstructured clinical notes</w:t>
            </w:r>
          </w:p>
        </w:tc>
        <w:tc>
          <w:tcPr>
            <w:tcW w:w="1296" w:type="dxa"/>
            <w:shd w:val="clear" w:color="auto" w:fill="F8FAFC"/>
          </w:tcPr>
          <w:p w14:paraId="12C58555" w14:textId="77777777" w:rsidR="00434EFE" w:rsidRDefault="00000000">
            <w:pPr>
              <w:spacing w:before="40" w:after="40"/>
              <w:jc w:val="center"/>
            </w:pPr>
            <w:r>
              <w:rPr>
                <w:sz w:val="17"/>
              </w:rPr>
              <w:t>Interactive HPO term mapping</w:t>
            </w:r>
          </w:p>
        </w:tc>
        <w:tc>
          <w:tcPr>
            <w:tcW w:w="1296" w:type="dxa"/>
            <w:shd w:val="clear" w:color="auto" w:fill="F8FAFC"/>
          </w:tcPr>
          <w:p w14:paraId="3E98C421" w14:textId="77777777" w:rsidR="00434EFE" w:rsidRDefault="00000000">
            <w:pPr>
              <w:spacing w:before="40" w:after="40"/>
              <w:jc w:val="center"/>
            </w:pPr>
            <w:r>
              <w:rPr>
                <w:sz w:val="17"/>
              </w:rPr>
              <w:t>String parsing + NER</w:t>
            </w:r>
          </w:p>
        </w:tc>
        <w:tc>
          <w:tcPr>
            <w:tcW w:w="1440" w:type="dxa"/>
            <w:shd w:val="clear" w:color="auto" w:fill="F8FAFC"/>
          </w:tcPr>
          <w:p w14:paraId="05A8ECF3" w14:textId="77777777" w:rsidR="00434EFE" w:rsidRDefault="00000000">
            <w:pPr>
              <w:spacing w:before="40" w:after="40"/>
              <w:jc w:val="center"/>
            </w:pPr>
            <w:r>
              <w:rPr>
                <w:sz w:val="17"/>
              </w:rPr>
              <w:t>Web tool for clinical text phenotyping</w:t>
            </w:r>
          </w:p>
        </w:tc>
        <w:tc>
          <w:tcPr>
            <w:tcW w:w="1440" w:type="dxa"/>
            <w:shd w:val="clear" w:color="auto" w:fill="F8FAFC"/>
          </w:tcPr>
          <w:p w14:paraId="3C96DA47" w14:textId="77777777" w:rsidR="00434EFE" w:rsidRDefault="00000000">
            <w:pPr>
              <w:spacing w:before="40" w:after="40"/>
              <w:jc w:val="center"/>
            </w:pPr>
            <w:r>
              <w:rPr>
                <w:sz w:val="17"/>
              </w:rPr>
              <w:t>Upstream precedent for clinical concept parsing</w:t>
            </w:r>
          </w:p>
        </w:tc>
      </w:tr>
      <w:tr w:rsidR="00434EFE" w14:paraId="52F3FE41" w14:textId="77777777">
        <w:trPr>
          <w:cantSplit/>
          <w:jc w:val="center"/>
        </w:trPr>
        <w:tc>
          <w:tcPr>
            <w:tcW w:w="864" w:type="dxa"/>
            <w:shd w:val="clear" w:color="auto" w:fill="FFFFFF"/>
          </w:tcPr>
          <w:p w14:paraId="06F4E7A6" w14:textId="77777777" w:rsidR="00434EFE" w:rsidRDefault="00000000">
            <w:pPr>
              <w:spacing w:before="40" w:after="40"/>
            </w:pPr>
            <w:r>
              <w:rPr>
                <w:sz w:val="17"/>
              </w:rPr>
              <w:t>2020</w:t>
            </w:r>
          </w:p>
        </w:tc>
        <w:tc>
          <w:tcPr>
            <w:tcW w:w="1440" w:type="dxa"/>
            <w:shd w:val="clear" w:color="auto" w:fill="FFFFFF"/>
          </w:tcPr>
          <w:p w14:paraId="7C6775CA" w14:textId="77777777" w:rsidR="00434EFE" w:rsidRDefault="00000000">
            <w:pPr>
              <w:spacing w:before="40" w:after="40"/>
              <w:jc w:val="center"/>
            </w:pPr>
            <w:r>
              <w:rPr>
                <w:sz w:val="17"/>
              </w:rPr>
              <w:t>Zhao et al.</w:t>
            </w:r>
          </w:p>
        </w:tc>
        <w:tc>
          <w:tcPr>
            <w:tcW w:w="1728" w:type="dxa"/>
            <w:shd w:val="clear" w:color="auto" w:fill="FFFFFF"/>
          </w:tcPr>
          <w:p w14:paraId="281EB6D8" w14:textId="77777777" w:rsidR="00434EFE" w:rsidRDefault="00000000">
            <w:pPr>
              <w:spacing w:before="40" w:after="40"/>
              <w:jc w:val="center"/>
            </w:pPr>
            <w:r>
              <w:rPr>
                <w:sz w:val="17"/>
              </w:rPr>
              <w:t>Phen2Gene (Nucleic Acids Res)</w:t>
            </w:r>
          </w:p>
        </w:tc>
        <w:tc>
          <w:tcPr>
            <w:tcW w:w="1296" w:type="dxa"/>
            <w:shd w:val="clear" w:color="auto" w:fill="FFFFFF"/>
          </w:tcPr>
          <w:p w14:paraId="3D593963" w14:textId="77777777" w:rsidR="00434EFE" w:rsidRDefault="00000000">
            <w:pPr>
              <w:spacing w:before="40" w:after="40"/>
              <w:jc w:val="center"/>
            </w:pPr>
            <w:r>
              <w:rPr>
                <w:sz w:val="17"/>
              </w:rPr>
              <w:t>OMIM, Orphanet, HPO annotations</w:t>
            </w:r>
          </w:p>
        </w:tc>
        <w:tc>
          <w:tcPr>
            <w:tcW w:w="1296" w:type="dxa"/>
            <w:shd w:val="clear" w:color="auto" w:fill="FFFFFF"/>
          </w:tcPr>
          <w:p w14:paraId="22FB584B" w14:textId="77777777" w:rsidR="00434EFE" w:rsidRDefault="00000000">
            <w:pPr>
              <w:spacing w:before="40" w:after="40"/>
              <w:jc w:val="center"/>
            </w:pPr>
            <w:r>
              <w:rPr>
                <w:sz w:val="17"/>
              </w:rPr>
              <w:t>Weighted HPO disease-gene profiles</w:t>
            </w:r>
          </w:p>
        </w:tc>
        <w:tc>
          <w:tcPr>
            <w:tcW w:w="1296" w:type="dxa"/>
            <w:shd w:val="clear" w:color="auto" w:fill="FFFFFF"/>
          </w:tcPr>
          <w:p w14:paraId="1F76FA1C" w14:textId="77777777" w:rsidR="00434EFE" w:rsidRDefault="00000000">
            <w:pPr>
              <w:spacing w:before="40" w:after="40"/>
              <w:jc w:val="center"/>
            </w:pPr>
            <w:r>
              <w:rPr>
                <w:sz w:val="17"/>
              </w:rPr>
              <w:t>Information theoretic gene scoring</w:t>
            </w:r>
          </w:p>
        </w:tc>
        <w:tc>
          <w:tcPr>
            <w:tcW w:w="1440" w:type="dxa"/>
            <w:shd w:val="clear" w:color="auto" w:fill="FFFFFF"/>
          </w:tcPr>
          <w:p w14:paraId="3265B4E0" w14:textId="77777777" w:rsidR="00434EFE" w:rsidRDefault="00000000">
            <w:pPr>
              <w:spacing w:before="40" w:after="40"/>
              <w:jc w:val="center"/>
            </w:pPr>
            <w:r>
              <w:rPr>
                <w:sz w:val="17"/>
              </w:rPr>
              <w:t>Rapid phenotype-driven gene prioritization</w:t>
            </w:r>
          </w:p>
        </w:tc>
        <w:tc>
          <w:tcPr>
            <w:tcW w:w="1440" w:type="dxa"/>
            <w:shd w:val="clear" w:color="auto" w:fill="FFFFFF"/>
          </w:tcPr>
          <w:p w14:paraId="02D8D1C4" w14:textId="77777777" w:rsidR="00434EFE" w:rsidRDefault="00000000">
            <w:pPr>
              <w:spacing w:before="40" w:after="40"/>
              <w:jc w:val="center"/>
            </w:pPr>
            <w:r>
              <w:rPr>
                <w:sz w:val="17"/>
              </w:rPr>
              <w:t>Uses HPO term weighting akin to feature vectorization</w:t>
            </w:r>
          </w:p>
        </w:tc>
      </w:tr>
      <w:tr w:rsidR="00434EFE" w14:paraId="619C6F26" w14:textId="77777777">
        <w:trPr>
          <w:cantSplit/>
          <w:jc w:val="center"/>
        </w:trPr>
        <w:tc>
          <w:tcPr>
            <w:tcW w:w="864" w:type="dxa"/>
            <w:shd w:val="clear" w:color="auto" w:fill="F8FAFC"/>
          </w:tcPr>
          <w:p w14:paraId="756DEA57" w14:textId="77777777" w:rsidR="00434EFE" w:rsidRDefault="00000000">
            <w:pPr>
              <w:spacing w:before="40" w:after="40"/>
            </w:pPr>
            <w:r>
              <w:rPr>
                <w:sz w:val="17"/>
              </w:rPr>
              <w:lastRenderedPageBreak/>
              <w:t>2022</w:t>
            </w:r>
          </w:p>
        </w:tc>
        <w:tc>
          <w:tcPr>
            <w:tcW w:w="1440" w:type="dxa"/>
            <w:shd w:val="clear" w:color="auto" w:fill="F8FAFC"/>
          </w:tcPr>
          <w:p w14:paraId="14C3FD93" w14:textId="77777777" w:rsidR="00434EFE" w:rsidRDefault="00000000">
            <w:pPr>
              <w:spacing w:before="40" w:after="40"/>
              <w:jc w:val="center"/>
            </w:pPr>
            <w:r>
              <w:rPr>
                <w:sz w:val="17"/>
              </w:rPr>
              <w:t>Hsieh et al.</w:t>
            </w:r>
          </w:p>
        </w:tc>
        <w:tc>
          <w:tcPr>
            <w:tcW w:w="1728" w:type="dxa"/>
            <w:shd w:val="clear" w:color="auto" w:fill="F8FAFC"/>
          </w:tcPr>
          <w:p w14:paraId="3DE3AE85" w14:textId="77777777" w:rsidR="00434EFE" w:rsidRDefault="00000000">
            <w:pPr>
              <w:spacing w:before="40" w:after="40"/>
              <w:jc w:val="center"/>
            </w:pPr>
            <w:r>
              <w:rPr>
                <w:sz w:val="17"/>
              </w:rPr>
              <w:t>GestaltMatcher (Nat Genet)</w:t>
            </w:r>
          </w:p>
        </w:tc>
        <w:tc>
          <w:tcPr>
            <w:tcW w:w="1296" w:type="dxa"/>
            <w:shd w:val="clear" w:color="auto" w:fill="F8FAFC"/>
          </w:tcPr>
          <w:p w14:paraId="62AAEE0B" w14:textId="77777777" w:rsidR="00434EFE" w:rsidRDefault="00000000">
            <w:pPr>
              <w:spacing w:before="40" w:after="40"/>
              <w:jc w:val="center"/>
            </w:pPr>
            <w:r>
              <w:rPr>
                <w:sz w:val="17"/>
              </w:rPr>
              <w:t>Patient clinical photographs</w:t>
            </w:r>
          </w:p>
        </w:tc>
        <w:tc>
          <w:tcPr>
            <w:tcW w:w="1296" w:type="dxa"/>
            <w:shd w:val="clear" w:color="auto" w:fill="F8FAFC"/>
          </w:tcPr>
          <w:p w14:paraId="527B1202" w14:textId="77777777" w:rsidR="00434EFE" w:rsidRDefault="00000000">
            <w:pPr>
              <w:spacing w:before="40" w:after="40"/>
              <w:jc w:val="center"/>
            </w:pPr>
            <w:r>
              <w:rPr>
                <w:sz w:val="17"/>
              </w:rPr>
              <w:t>Deep facial dysmorphic embeddings</w:t>
            </w:r>
          </w:p>
        </w:tc>
        <w:tc>
          <w:tcPr>
            <w:tcW w:w="1296" w:type="dxa"/>
            <w:shd w:val="clear" w:color="auto" w:fill="F8FAFC"/>
          </w:tcPr>
          <w:p w14:paraId="566EB3C9" w14:textId="77777777" w:rsidR="00434EFE" w:rsidRDefault="00000000">
            <w:pPr>
              <w:spacing w:before="40" w:after="40"/>
              <w:jc w:val="center"/>
            </w:pPr>
            <w:r>
              <w:rPr>
                <w:sz w:val="17"/>
              </w:rPr>
              <w:t>Deep Convolutional Neural Networks</w:t>
            </w:r>
          </w:p>
        </w:tc>
        <w:tc>
          <w:tcPr>
            <w:tcW w:w="1440" w:type="dxa"/>
            <w:shd w:val="clear" w:color="auto" w:fill="F8FAFC"/>
          </w:tcPr>
          <w:p w14:paraId="6FF416C9" w14:textId="77777777" w:rsidR="00434EFE" w:rsidRDefault="00000000">
            <w:pPr>
              <w:spacing w:before="40" w:after="40"/>
              <w:jc w:val="center"/>
            </w:pPr>
            <w:r>
              <w:rPr>
                <w:sz w:val="17"/>
              </w:rPr>
              <w:t>Image-based rare disease phenotypic matching</w:t>
            </w:r>
          </w:p>
        </w:tc>
        <w:tc>
          <w:tcPr>
            <w:tcW w:w="1440" w:type="dxa"/>
            <w:shd w:val="clear" w:color="auto" w:fill="F8FAFC"/>
          </w:tcPr>
          <w:p w14:paraId="021B0506" w14:textId="77777777" w:rsidR="00434EFE" w:rsidRDefault="00000000">
            <w:pPr>
              <w:spacing w:before="40" w:after="40"/>
              <w:jc w:val="center"/>
            </w:pPr>
            <w:r>
              <w:rPr>
                <w:sz w:val="17"/>
              </w:rPr>
              <w:t>Visual modality for syndromic recognition</w:t>
            </w:r>
          </w:p>
        </w:tc>
      </w:tr>
      <w:tr w:rsidR="00434EFE" w14:paraId="20A6C4D4" w14:textId="77777777">
        <w:trPr>
          <w:cantSplit/>
          <w:jc w:val="center"/>
        </w:trPr>
        <w:tc>
          <w:tcPr>
            <w:tcW w:w="864" w:type="dxa"/>
            <w:shd w:val="clear" w:color="auto" w:fill="FFFFFF"/>
          </w:tcPr>
          <w:p w14:paraId="4960F8F2" w14:textId="77777777" w:rsidR="00434EFE" w:rsidRDefault="00000000">
            <w:pPr>
              <w:spacing w:before="40" w:after="40"/>
            </w:pPr>
            <w:r>
              <w:rPr>
                <w:sz w:val="17"/>
              </w:rPr>
              <w:t>2020</w:t>
            </w:r>
          </w:p>
        </w:tc>
        <w:tc>
          <w:tcPr>
            <w:tcW w:w="1440" w:type="dxa"/>
            <w:shd w:val="clear" w:color="auto" w:fill="FFFFFF"/>
          </w:tcPr>
          <w:p w14:paraId="283B3B3A" w14:textId="77777777" w:rsidR="00434EFE" w:rsidRDefault="00000000">
            <w:pPr>
              <w:spacing w:before="40" w:after="40"/>
              <w:jc w:val="center"/>
            </w:pPr>
            <w:r>
              <w:rPr>
                <w:sz w:val="17"/>
              </w:rPr>
              <w:t>Rönicke et al.</w:t>
            </w:r>
          </w:p>
        </w:tc>
        <w:tc>
          <w:tcPr>
            <w:tcW w:w="1728" w:type="dxa"/>
            <w:shd w:val="clear" w:color="auto" w:fill="FFFFFF"/>
          </w:tcPr>
          <w:p w14:paraId="035BD559" w14:textId="77777777" w:rsidR="00434EFE" w:rsidRDefault="00000000">
            <w:pPr>
              <w:spacing w:before="40" w:after="40"/>
              <w:jc w:val="center"/>
            </w:pPr>
            <w:r>
              <w:rPr>
                <w:sz w:val="17"/>
              </w:rPr>
              <w:t>AI in Rare Diseases (Mol Cell Pediatr)</w:t>
            </w:r>
          </w:p>
        </w:tc>
        <w:tc>
          <w:tcPr>
            <w:tcW w:w="1296" w:type="dxa"/>
            <w:shd w:val="clear" w:color="auto" w:fill="FFFFFF"/>
          </w:tcPr>
          <w:p w14:paraId="7514706D" w14:textId="77777777" w:rsidR="00434EFE" w:rsidRDefault="00000000">
            <w:pPr>
              <w:spacing w:before="40" w:after="40"/>
              <w:jc w:val="center"/>
            </w:pPr>
            <w:r>
              <w:rPr>
                <w:sz w:val="17"/>
              </w:rPr>
              <w:t>Review of rare disease CDSS</w:t>
            </w:r>
          </w:p>
        </w:tc>
        <w:tc>
          <w:tcPr>
            <w:tcW w:w="1296" w:type="dxa"/>
            <w:shd w:val="clear" w:color="auto" w:fill="FFFFFF"/>
          </w:tcPr>
          <w:p w14:paraId="2C29EF2C" w14:textId="77777777" w:rsidR="00434EFE" w:rsidRDefault="00000000">
            <w:pPr>
              <w:spacing w:before="40" w:after="40"/>
              <w:jc w:val="center"/>
            </w:pPr>
            <w:r>
              <w:rPr>
                <w:sz w:val="17"/>
              </w:rPr>
              <w:t>Variable (HPO, ICD, UMLS)</w:t>
            </w:r>
          </w:p>
        </w:tc>
        <w:tc>
          <w:tcPr>
            <w:tcW w:w="1296" w:type="dxa"/>
            <w:shd w:val="clear" w:color="auto" w:fill="FFFFFF"/>
          </w:tcPr>
          <w:p w14:paraId="5FC94246" w14:textId="77777777" w:rsidR="00434EFE" w:rsidRDefault="00000000">
            <w:pPr>
              <w:spacing w:before="40" w:after="40"/>
              <w:jc w:val="center"/>
            </w:pPr>
            <w:r>
              <w:rPr>
                <w:sz w:val="17"/>
              </w:rPr>
              <w:t>Systematic comparative analysis</w:t>
            </w:r>
          </w:p>
        </w:tc>
        <w:tc>
          <w:tcPr>
            <w:tcW w:w="1440" w:type="dxa"/>
            <w:shd w:val="clear" w:color="auto" w:fill="FFFFFF"/>
          </w:tcPr>
          <w:p w14:paraId="470068B9" w14:textId="77777777" w:rsidR="00434EFE" w:rsidRDefault="00000000">
            <w:pPr>
              <w:spacing w:before="40" w:after="40"/>
              <w:jc w:val="center"/>
            </w:pPr>
            <w:r>
              <w:rPr>
                <w:sz w:val="17"/>
              </w:rPr>
              <w:t>Highlighted risks of data leakage and uncalibrated models</w:t>
            </w:r>
          </w:p>
        </w:tc>
        <w:tc>
          <w:tcPr>
            <w:tcW w:w="1440" w:type="dxa"/>
            <w:shd w:val="clear" w:color="auto" w:fill="FFFFFF"/>
          </w:tcPr>
          <w:p w14:paraId="75BE4D42" w14:textId="77777777" w:rsidR="00434EFE" w:rsidRDefault="00000000">
            <w:pPr>
              <w:spacing w:before="40" w:after="40"/>
              <w:jc w:val="center"/>
            </w:pPr>
            <w:r>
              <w:rPr>
                <w:sz w:val="17"/>
              </w:rPr>
              <w:t>Validates RareDXAI's focus on calibration and controls</w:t>
            </w:r>
          </w:p>
        </w:tc>
      </w:tr>
      <w:tr w:rsidR="00434EFE" w14:paraId="7F14D938" w14:textId="77777777">
        <w:trPr>
          <w:cantSplit/>
          <w:jc w:val="center"/>
        </w:trPr>
        <w:tc>
          <w:tcPr>
            <w:tcW w:w="864" w:type="dxa"/>
            <w:shd w:val="clear" w:color="auto" w:fill="F8FAFC"/>
          </w:tcPr>
          <w:p w14:paraId="38D9C990" w14:textId="77777777" w:rsidR="00434EFE" w:rsidRDefault="00000000">
            <w:pPr>
              <w:spacing w:before="40" w:after="40"/>
            </w:pPr>
            <w:r>
              <w:rPr>
                <w:sz w:val="17"/>
              </w:rPr>
              <w:t>2023</w:t>
            </w:r>
          </w:p>
        </w:tc>
        <w:tc>
          <w:tcPr>
            <w:tcW w:w="1440" w:type="dxa"/>
            <w:shd w:val="clear" w:color="auto" w:fill="F8FAFC"/>
          </w:tcPr>
          <w:p w14:paraId="16167D45" w14:textId="77777777" w:rsidR="00434EFE" w:rsidRDefault="00000000">
            <w:pPr>
              <w:spacing w:before="40" w:after="40"/>
              <w:jc w:val="center"/>
            </w:pPr>
            <w:r>
              <w:rPr>
                <w:sz w:val="17"/>
              </w:rPr>
              <w:t>Martinez-Cayuelas et al.</w:t>
            </w:r>
          </w:p>
        </w:tc>
        <w:tc>
          <w:tcPr>
            <w:tcW w:w="1728" w:type="dxa"/>
            <w:shd w:val="clear" w:color="auto" w:fill="F8FAFC"/>
          </w:tcPr>
          <w:p w14:paraId="77D07F61" w14:textId="77777777" w:rsidR="00434EFE" w:rsidRDefault="00000000">
            <w:pPr>
              <w:spacing w:before="40" w:after="40"/>
              <w:jc w:val="center"/>
            </w:pPr>
            <w:r>
              <w:rPr>
                <w:sz w:val="17"/>
              </w:rPr>
              <w:t>KBG Syndrome Delineation (Eur J Hum Genet)</w:t>
            </w:r>
          </w:p>
        </w:tc>
        <w:tc>
          <w:tcPr>
            <w:tcW w:w="1296" w:type="dxa"/>
            <w:shd w:val="clear" w:color="auto" w:fill="F8FAFC"/>
          </w:tcPr>
          <w:p w14:paraId="14B398BD" w14:textId="77777777" w:rsidR="00434EFE" w:rsidRDefault="00000000">
            <w:pPr>
              <w:spacing w:before="40" w:after="40"/>
              <w:jc w:val="center"/>
            </w:pPr>
            <w:r>
              <w:rPr>
                <w:sz w:val="17"/>
              </w:rPr>
              <w:t>67 molecularly confirmed KBG patients</w:t>
            </w:r>
          </w:p>
        </w:tc>
        <w:tc>
          <w:tcPr>
            <w:tcW w:w="1296" w:type="dxa"/>
            <w:shd w:val="clear" w:color="auto" w:fill="F8FAFC"/>
          </w:tcPr>
          <w:p w14:paraId="48F73EBC" w14:textId="77777777" w:rsidR="00434EFE" w:rsidRDefault="00000000">
            <w:pPr>
              <w:spacing w:before="40" w:after="40"/>
              <w:jc w:val="center"/>
            </w:pPr>
            <w:r>
              <w:rPr>
                <w:sz w:val="17"/>
              </w:rPr>
              <w:t>Clinical phenotypic descriptions</w:t>
            </w:r>
          </w:p>
        </w:tc>
        <w:tc>
          <w:tcPr>
            <w:tcW w:w="1296" w:type="dxa"/>
            <w:shd w:val="clear" w:color="auto" w:fill="F8FAFC"/>
          </w:tcPr>
          <w:p w14:paraId="502E955A" w14:textId="77777777" w:rsidR="00434EFE" w:rsidRDefault="00000000">
            <w:pPr>
              <w:spacing w:before="40" w:after="40"/>
              <w:jc w:val="center"/>
            </w:pPr>
            <w:r>
              <w:rPr>
                <w:sz w:val="17"/>
              </w:rPr>
              <w:t>Multicenter clinical cohort analysis</w:t>
            </w:r>
          </w:p>
        </w:tc>
        <w:tc>
          <w:tcPr>
            <w:tcW w:w="1440" w:type="dxa"/>
            <w:shd w:val="clear" w:color="auto" w:fill="F8FAFC"/>
          </w:tcPr>
          <w:p w14:paraId="26247C7B" w14:textId="77777777" w:rsidR="00434EFE" w:rsidRDefault="00000000">
            <w:pPr>
              <w:spacing w:before="40" w:after="40"/>
              <w:jc w:val="center"/>
            </w:pPr>
            <w:r>
              <w:rPr>
                <w:sz w:val="17"/>
              </w:rPr>
              <w:t>Delineated cardinal features (ANKRD11 mutations)</w:t>
            </w:r>
          </w:p>
        </w:tc>
        <w:tc>
          <w:tcPr>
            <w:tcW w:w="1440" w:type="dxa"/>
            <w:shd w:val="clear" w:color="auto" w:fill="F8FAFC"/>
          </w:tcPr>
          <w:p w14:paraId="60C84BE7" w14:textId="77777777" w:rsidR="00434EFE" w:rsidRDefault="00000000">
            <w:pPr>
              <w:spacing w:before="40" w:after="40"/>
              <w:jc w:val="center"/>
            </w:pPr>
            <w:r>
              <w:rPr>
                <w:sz w:val="17"/>
              </w:rPr>
              <w:t>Primary clinical cohort source for KBG syndrome</w:t>
            </w:r>
          </w:p>
        </w:tc>
      </w:tr>
      <w:tr w:rsidR="00434EFE" w14:paraId="2AA785F0" w14:textId="77777777">
        <w:trPr>
          <w:cantSplit/>
          <w:jc w:val="center"/>
        </w:trPr>
        <w:tc>
          <w:tcPr>
            <w:tcW w:w="864" w:type="dxa"/>
            <w:shd w:val="clear" w:color="auto" w:fill="FFFFFF"/>
          </w:tcPr>
          <w:p w14:paraId="5DDE46A8" w14:textId="77777777" w:rsidR="00434EFE" w:rsidRDefault="00000000">
            <w:pPr>
              <w:spacing w:before="40" w:after="40"/>
            </w:pPr>
            <w:r>
              <w:rPr>
                <w:sz w:val="17"/>
              </w:rPr>
              <w:t>2020</w:t>
            </w:r>
          </w:p>
        </w:tc>
        <w:tc>
          <w:tcPr>
            <w:tcW w:w="1440" w:type="dxa"/>
            <w:shd w:val="clear" w:color="auto" w:fill="FFFFFF"/>
          </w:tcPr>
          <w:p w14:paraId="33498B0D" w14:textId="77777777" w:rsidR="00434EFE" w:rsidRDefault="00000000">
            <w:pPr>
              <w:spacing w:before="40" w:after="40"/>
              <w:jc w:val="center"/>
            </w:pPr>
            <w:r>
              <w:rPr>
                <w:sz w:val="17"/>
              </w:rPr>
              <w:t>Assia Batzir et al.</w:t>
            </w:r>
          </w:p>
        </w:tc>
        <w:tc>
          <w:tcPr>
            <w:tcW w:w="1728" w:type="dxa"/>
            <w:shd w:val="clear" w:color="auto" w:fill="FFFFFF"/>
          </w:tcPr>
          <w:p w14:paraId="27683A68" w14:textId="77777777" w:rsidR="00434EFE" w:rsidRDefault="00000000">
            <w:pPr>
              <w:spacing w:before="40" w:after="40"/>
              <w:jc w:val="center"/>
            </w:pPr>
            <w:r>
              <w:rPr>
                <w:sz w:val="17"/>
              </w:rPr>
              <w:t>White-Sutton Delineation (Am J Med Genet A)</w:t>
            </w:r>
          </w:p>
        </w:tc>
        <w:tc>
          <w:tcPr>
            <w:tcW w:w="1296" w:type="dxa"/>
            <w:shd w:val="clear" w:color="auto" w:fill="FFFFFF"/>
          </w:tcPr>
          <w:p w14:paraId="64956299" w14:textId="77777777" w:rsidR="00434EFE" w:rsidRDefault="00000000">
            <w:pPr>
              <w:spacing w:before="40" w:after="40"/>
              <w:jc w:val="center"/>
            </w:pPr>
            <w:r>
              <w:rPr>
                <w:sz w:val="17"/>
              </w:rPr>
              <w:t>22 patients with POGZ variants</w:t>
            </w:r>
          </w:p>
        </w:tc>
        <w:tc>
          <w:tcPr>
            <w:tcW w:w="1296" w:type="dxa"/>
            <w:shd w:val="clear" w:color="auto" w:fill="FFFFFF"/>
          </w:tcPr>
          <w:p w14:paraId="51F477F9" w14:textId="77777777" w:rsidR="00434EFE" w:rsidRDefault="00000000">
            <w:pPr>
              <w:spacing w:before="40" w:after="40"/>
              <w:jc w:val="center"/>
            </w:pPr>
            <w:r>
              <w:rPr>
                <w:sz w:val="17"/>
              </w:rPr>
              <w:t>Clinical phenotypic profiles</w:t>
            </w:r>
          </w:p>
        </w:tc>
        <w:tc>
          <w:tcPr>
            <w:tcW w:w="1296" w:type="dxa"/>
            <w:shd w:val="clear" w:color="auto" w:fill="FFFFFF"/>
          </w:tcPr>
          <w:p w14:paraId="2AAB76FB" w14:textId="77777777" w:rsidR="00434EFE" w:rsidRDefault="00000000">
            <w:pPr>
              <w:spacing w:before="40" w:after="40"/>
              <w:jc w:val="center"/>
            </w:pPr>
            <w:r>
              <w:rPr>
                <w:sz w:val="17"/>
              </w:rPr>
              <w:t>Detailed clinical characterization</w:t>
            </w:r>
          </w:p>
        </w:tc>
        <w:tc>
          <w:tcPr>
            <w:tcW w:w="1440" w:type="dxa"/>
            <w:shd w:val="clear" w:color="auto" w:fill="FFFFFF"/>
          </w:tcPr>
          <w:p w14:paraId="0F0047C3" w14:textId="77777777" w:rsidR="00434EFE" w:rsidRDefault="00000000">
            <w:pPr>
              <w:spacing w:before="40" w:after="40"/>
              <w:jc w:val="center"/>
            </w:pPr>
            <w:r>
              <w:rPr>
                <w:sz w:val="17"/>
              </w:rPr>
              <w:t>Established cardinal spectrum of White-Sutton syndrome</w:t>
            </w:r>
          </w:p>
        </w:tc>
        <w:tc>
          <w:tcPr>
            <w:tcW w:w="1440" w:type="dxa"/>
            <w:shd w:val="clear" w:color="auto" w:fill="FFFFFF"/>
          </w:tcPr>
          <w:p w14:paraId="18CDCFBF" w14:textId="77777777" w:rsidR="00434EFE" w:rsidRDefault="00000000">
            <w:pPr>
              <w:spacing w:before="40" w:after="40"/>
              <w:jc w:val="center"/>
            </w:pPr>
            <w:r>
              <w:rPr>
                <w:sz w:val="17"/>
              </w:rPr>
              <w:t>Primary clinical cohort source for White-Sutton syndrome</w:t>
            </w:r>
          </w:p>
        </w:tc>
      </w:tr>
      <w:tr w:rsidR="00434EFE" w14:paraId="6EAA365E" w14:textId="77777777">
        <w:trPr>
          <w:cantSplit/>
          <w:jc w:val="center"/>
        </w:trPr>
        <w:tc>
          <w:tcPr>
            <w:tcW w:w="864" w:type="dxa"/>
            <w:shd w:val="clear" w:color="auto" w:fill="F8FAFC"/>
          </w:tcPr>
          <w:p w14:paraId="77CA20D3" w14:textId="77777777" w:rsidR="00434EFE" w:rsidRDefault="00000000">
            <w:pPr>
              <w:spacing w:before="40" w:after="40"/>
            </w:pPr>
            <w:r>
              <w:rPr>
                <w:sz w:val="17"/>
              </w:rPr>
              <w:t>2021</w:t>
            </w:r>
          </w:p>
        </w:tc>
        <w:tc>
          <w:tcPr>
            <w:tcW w:w="1440" w:type="dxa"/>
            <w:shd w:val="clear" w:color="auto" w:fill="F8FAFC"/>
          </w:tcPr>
          <w:p w14:paraId="205A3A49" w14:textId="77777777" w:rsidR="00434EFE" w:rsidRDefault="00000000">
            <w:pPr>
              <w:spacing w:before="40" w:after="40"/>
              <w:jc w:val="center"/>
            </w:pPr>
            <w:r>
              <w:rPr>
                <w:sz w:val="17"/>
              </w:rPr>
              <w:t>Khayat et al.</w:t>
            </w:r>
          </w:p>
        </w:tc>
        <w:tc>
          <w:tcPr>
            <w:tcW w:w="1728" w:type="dxa"/>
            <w:shd w:val="clear" w:color="auto" w:fill="F8FAFC"/>
          </w:tcPr>
          <w:p w14:paraId="407AD145" w14:textId="77777777" w:rsidR="00434EFE" w:rsidRDefault="00000000">
            <w:pPr>
              <w:spacing w:before="40" w:after="40"/>
              <w:jc w:val="center"/>
            </w:pPr>
            <w:r>
              <w:rPr>
                <w:sz w:val="17"/>
              </w:rPr>
              <w:t>Xia-Gibbs Spectrum (Am J Med Genet A)</w:t>
            </w:r>
          </w:p>
        </w:tc>
        <w:tc>
          <w:tcPr>
            <w:tcW w:w="1296" w:type="dxa"/>
            <w:shd w:val="clear" w:color="auto" w:fill="F8FAFC"/>
          </w:tcPr>
          <w:p w14:paraId="42BB1A3C" w14:textId="77777777" w:rsidR="00434EFE" w:rsidRDefault="00000000">
            <w:pPr>
              <w:spacing w:before="40" w:after="40"/>
              <w:jc w:val="center"/>
            </w:pPr>
            <w:r>
              <w:rPr>
                <w:sz w:val="17"/>
              </w:rPr>
              <w:t>8 patients with AHDC1 variants</w:t>
            </w:r>
          </w:p>
        </w:tc>
        <w:tc>
          <w:tcPr>
            <w:tcW w:w="1296" w:type="dxa"/>
            <w:shd w:val="clear" w:color="auto" w:fill="F8FAFC"/>
          </w:tcPr>
          <w:p w14:paraId="1EEA454B" w14:textId="77777777" w:rsidR="00434EFE" w:rsidRDefault="00000000">
            <w:pPr>
              <w:spacing w:before="40" w:after="40"/>
              <w:jc w:val="center"/>
            </w:pPr>
            <w:r>
              <w:rPr>
                <w:sz w:val="17"/>
              </w:rPr>
              <w:t>Systematic clinical feature tables</w:t>
            </w:r>
          </w:p>
        </w:tc>
        <w:tc>
          <w:tcPr>
            <w:tcW w:w="1296" w:type="dxa"/>
            <w:shd w:val="clear" w:color="auto" w:fill="F8FAFC"/>
          </w:tcPr>
          <w:p w14:paraId="1C710B64" w14:textId="77777777" w:rsidR="00434EFE" w:rsidRDefault="00000000">
            <w:pPr>
              <w:spacing w:before="40" w:after="40"/>
              <w:jc w:val="center"/>
            </w:pPr>
            <w:r>
              <w:rPr>
                <w:sz w:val="17"/>
              </w:rPr>
              <w:t>Clinical case series analysis</w:t>
            </w:r>
          </w:p>
        </w:tc>
        <w:tc>
          <w:tcPr>
            <w:tcW w:w="1440" w:type="dxa"/>
            <w:shd w:val="clear" w:color="auto" w:fill="F8FAFC"/>
          </w:tcPr>
          <w:p w14:paraId="37CEB732" w14:textId="77777777" w:rsidR="00434EFE" w:rsidRDefault="00000000">
            <w:pPr>
              <w:spacing w:before="40" w:after="40"/>
              <w:jc w:val="center"/>
            </w:pPr>
            <w:r>
              <w:rPr>
                <w:sz w:val="17"/>
              </w:rPr>
              <w:t>Expanded phenotypic spectrum of Xia-Gibbs syndrome</w:t>
            </w:r>
          </w:p>
        </w:tc>
        <w:tc>
          <w:tcPr>
            <w:tcW w:w="1440" w:type="dxa"/>
            <w:shd w:val="clear" w:color="auto" w:fill="F8FAFC"/>
          </w:tcPr>
          <w:p w14:paraId="1056D807" w14:textId="77777777" w:rsidR="00434EFE" w:rsidRDefault="00000000">
            <w:pPr>
              <w:spacing w:before="40" w:after="40"/>
              <w:jc w:val="center"/>
            </w:pPr>
            <w:r>
              <w:rPr>
                <w:sz w:val="17"/>
              </w:rPr>
              <w:t>Clinical cohort contributor for Xia-Gibbs syndrome</w:t>
            </w:r>
          </w:p>
        </w:tc>
      </w:tr>
      <w:tr w:rsidR="00434EFE" w14:paraId="2AD87E8D" w14:textId="77777777">
        <w:trPr>
          <w:cantSplit/>
          <w:jc w:val="center"/>
        </w:trPr>
        <w:tc>
          <w:tcPr>
            <w:tcW w:w="864" w:type="dxa"/>
            <w:shd w:val="clear" w:color="auto" w:fill="FFFFFF"/>
          </w:tcPr>
          <w:p w14:paraId="12F4AC56" w14:textId="77777777" w:rsidR="00434EFE" w:rsidRDefault="00000000">
            <w:pPr>
              <w:spacing w:before="40" w:after="40"/>
            </w:pPr>
            <w:r>
              <w:rPr>
                <w:sz w:val="17"/>
              </w:rPr>
              <w:t>2023</w:t>
            </w:r>
          </w:p>
        </w:tc>
        <w:tc>
          <w:tcPr>
            <w:tcW w:w="1440" w:type="dxa"/>
            <w:shd w:val="clear" w:color="auto" w:fill="FFFFFF"/>
          </w:tcPr>
          <w:p w14:paraId="4F842034" w14:textId="77777777" w:rsidR="00434EFE" w:rsidRDefault="00000000">
            <w:pPr>
              <w:spacing w:before="40" w:after="40"/>
              <w:jc w:val="center"/>
            </w:pPr>
            <w:r>
              <w:rPr>
                <w:sz w:val="17"/>
              </w:rPr>
              <w:t>Schuetz et al.</w:t>
            </w:r>
          </w:p>
        </w:tc>
        <w:tc>
          <w:tcPr>
            <w:tcW w:w="1728" w:type="dxa"/>
            <w:shd w:val="clear" w:color="auto" w:fill="FFFFFF"/>
          </w:tcPr>
          <w:p w14:paraId="1AD4573D" w14:textId="77777777" w:rsidR="00434EFE" w:rsidRDefault="00000000">
            <w:pPr>
              <w:spacing w:before="40" w:after="40"/>
              <w:jc w:val="center"/>
            </w:pPr>
            <w:r>
              <w:rPr>
                <w:sz w:val="17"/>
              </w:rPr>
              <w:t>Ontological Harmonization (J Biomed Inform)</w:t>
            </w:r>
          </w:p>
        </w:tc>
        <w:tc>
          <w:tcPr>
            <w:tcW w:w="1296" w:type="dxa"/>
            <w:shd w:val="clear" w:color="auto" w:fill="FFFFFF"/>
          </w:tcPr>
          <w:p w14:paraId="5F238BA9" w14:textId="77777777" w:rsidR="00434EFE" w:rsidRDefault="00000000">
            <w:pPr>
              <w:spacing w:before="40" w:after="40"/>
              <w:jc w:val="center"/>
            </w:pPr>
            <w:r>
              <w:rPr>
                <w:sz w:val="17"/>
              </w:rPr>
              <w:t>Case reports &amp; electronic health records</w:t>
            </w:r>
          </w:p>
        </w:tc>
        <w:tc>
          <w:tcPr>
            <w:tcW w:w="1296" w:type="dxa"/>
            <w:shd w:val="clear" w:color="auto" w:fill="FFFFFF"/>
          </w:tcPr>
          <w:p w14:paraId="71B1BDB0" w14:textId="77777777" w:rsidR="00434EFE" w:rsidRDefault="00000000">
            <w:pPr>
              <w:spacing w:before="40" w:after="40"/>
              <w:jc w:val="center"/>
            </w:pPr>
            <w:r>
              <w:rPr>
                <w:sz w:val="17"/>
              </w:rPr>
              <w:t>HPO term mapping</w:t>
            </w:r>
          </w:p>
        </w:tc>
        <w:tc>
          <w:tcPr>
            <w:tcW w:w="1296" w:type="dxa"/>
            <w:shd w:val="clear" w:color="auto" w:fill="FFFFFF"/>
          </w:tcPr>
          <w:p w14:paraId="4AC70D56" w14:textId="77777777" w:rsidR="00434EFE" w:rsidRDefault="00000000">
            <w:pPr>
              <w:spacing w:before="40" w:after="40"/>
              <w:jc w:val="center"/>
            </w:pPr>
            <w:r>
              <w:rPr>
                <w:sz w:val="17"/>
              </w:rPr>
              <w:t>Automated NLP &amp; fuzzy ontology matching</w:t>
            </w:r>
          </w:p>
        </w:tc>
        <w:tc>
          <w:tcPr>
            <w:tcW w:w="1440" w:type="dxa"/>
            <w:shd w:val="clear" w:color="auto" w:fill="FFFFFF"/>
          </w:tcPr>
          <w:p w14:paraId="51577495" w14:textId="77777777" w:rsidR="00434EFE" w:rsidRDefault="00000000">
            <w:pPr>
              <w:spacing w:before="40" w:after="40"/>
              <w:jc w:val="center"/>
            </w:pPr>
            <w:r>
              <w:rPr>
                <w:sz w:val="17"/>
              </w:rPr>
              <w:t>Evaluated OCR error propagation in clinical phenotyping</w:t>
            </w:r>
          </w:p>
        </w:tc>
        <w:tc>
          <w:tcPr>
            <w:tcW w:w="1440" w:type="dxa"/>
            <w:shd w:val="clear" w:color="auto" w:fill="FFFFFF"/>
          </w:tcPr>
          <w:p w14:paraId="232057E4" w14:textId="77777777" w:rsidR="00434EFE" w:rsidRDefault="00000000">
            <w:pPr>
              <w:spacing w:before="40" w:after="40"/>
              <w:jc w:val="center"/>
            </w:pPr>
            <w:r>
              <w:rPr>
                <w:sz w:val="17"/>
              </w:rPr>
              <w:t>Contextualizes RareDXAI's OCR error evaluations</w:t>
            </w:r>
          </w:p>
        </w:tc>
      </w:tr>
    </w:tbl>
    <w:p w14:paraId="4E7BADF4" w14:textId="77777777" w:rsidR="00434EFE" w:rsidRDefault="00434EFE"/>
    <w:p w14:paraId="79CD5576" w14:textId="77777777" w:rsidR="00434EFE" w:rsidRDefault="00000000">
      <w:pPr>
        <w:keepNext/>
        <w:spacing w:before="320"/>
      </w:pPr>
      <w:r>
        <w:rPr>
          <w:b/>
          <w:color w:val="1E3A8A"/>
          <w:sz w:val="28"/>
        </w:rPr>
        <w:t>4. Mathematical Expression</w:t>
      </w:r>
    </w:p>
    <w:p w14:paraId="55547851" w14:textId="77777777" w:rsidR="00434EFE" w:rsidRDefault="00000000">
      <w:pPr>
        <w:jc w:val="both"/>
      </w:pPr>
      <w:r>
        <w:t>This section defines the mathematical expressions used in RareDXAI for patient representation, classification, calibration, evaluation metrics, and SHAP interpretability.</w:t>
      </w:r>
    </w:p>
    <w:p w14:paraId="24989D5C" w14:textId="77777777" w:rsidR="00434EFE" w:rsidRDefault="00000000">
      <w:pPr>
        <w:keepNext/>
        <w:spacing w:before="240" w:after="80"/>
      </w:pPr>
      <w:r>
        <w:rPr>
          <w:b/>
          <w:color w:val="0D9488"/>
          <w:sz w:val="24"/>
        </w:rPr>
        <w:t>4.1 Patient Phenotype Vector</w:t>
      </w:r>
    </w:p>
    <w:tbl>
      <w:tblPr>
        <w:tblW w:w="0" w:type="auto"/>
        <w:jc w:val="center"/>
        <w:tblLook w:val="04A0" w:firstRow="1" w:lastRow="0" w:firstColumn="1" w:lastColumn="0" w:noHBand="0" w:noVBand="1"/>
      </w:tblPr>
      <w:tblGrid>
        <w:gridCol w:w="9360"/>
      </w:tblGrid>
      <w:tr w:rsidR="00434EFE" w14:paraId="6F459F74" w14:textId="77777777">
        <w:trPr>
          <w:jc w:val="center"/>
        </w:trPr>
        <w:tc>
          <w:tcPr>
            <w:tcW w:w="9360" w:type="dxa"/>
            <w:shd w:val="clear" w:color="auto" w:fill="F8FAFC"/>
          </w:tcPr>
          <w:p w14:paraId="0DD99569" w14:textId="77777777" w:rsidR="00434EFE" w:rsidRDefault="00000000">
            <w:pPr>
              <w:spacing w:before="80" w:after="80"/>
              <w:jc w:val="center"/>
            </w:pPr>
            <w:r>
              <w:rPr>
                <w:b/>
                <w:color w:val="1E3A8A"/>
              </w:rPr>
              <w:t>x_i = [x_i1, x_i2, ..., x_id]</w:t>
            </w:r>
          </w:p>
        </w:tc>
      </w:tr>
    </w:tbl>
    <w:p w14:paraId="5D031BD3" w14:textId="77777777" w:rsidR="00434EFE" w:rsidRDefault="00000000">
      <w:pPr>
        <w:spacing w:before="40" w:after="160"/>
      </w:pPr>
      <w:r>
        <w:rPr>
          <w:i/>
          <w:color w:val="334155"/>
          <w:sz w:val="20"/>
        </w:rPr>
        <w:t>Explanation: Each patient i is represented as a feature vector x_i of length d = 81, which contains 78 binary clinical HPO features and 3 demographic sex indicators.</w:t>
      </w:r>
    </w:p>
    <w:p w14:paraId="5B4F6310" w14:textId="77777777" w:rsidR="00434EFE" w:rsidRDefault="00000000">
      <w:pPr>
        <w:keepNext/>
        <w:spacing w:before="240" w:after="80"/>
      </w:pPr>
      <w:r>
        <w:rPr>
          <w:b/>
          <w:color w:val="0D9488"/>
          <w:sz w:val="24"/>
        </w:rPr>
        <w:t>4.2 Binary HPO Feature Encoding</w:t>
      </w:r>
    </w:p>
    <w:tbl>
      <w:tblPr>
        <w:tblW w:w="0" w:type="auto"/>
        <w:jc w:val="center"/>
        <w:tblLook w:val="04A0" w:firstRow="1" w:lastRow="0" w:firstColumn="1" w:lastColumn="0" w:noHBand="0" w:noVBand="1"/>
      </w:tblPr>
      <w:tblGrid>
        <w:gridCol w:w="9360"/>
      </w:tblGrid>
      <w:tr w:rsidR="00434EFE" w14:paraId="6115EC91" w14:textId="77777777">
        <w:trPr>
          <w:jc w:val="center"/>
        </w:trPr>
        <w:tc>
          <w:tcPr>
            <w:tcW w:w="9360" w:type="dxa"/>
            <w:shd w:val="clear" w:color="auto" w:fill="F8FAFC"/>
          </w:tcPr>
          <w:p w14:paraId="0F984EDB" w14:textId="77777777" w:rsidR="00434EFE" w:rsidRDefault="00000000">
            <w:pPr>
              <w:spacing w:before="80" w:after="80"/>
              <w:jc w:val="center"/>
            </w:pPr>
            <w:r>
              <w:rPr>
                <w:b/>
                <w:color w:val="1E3A8A"/>
              </w:rPr>
              <w:t>x_ij ∈ {0, 1} = 1 if HPO term j is documented; 0 if absent/not reported</w:t>
            </w:r>
          </w:p>
        </w:tc>
      </w:tr>
    </w:tbl>
    <w:p w14:paraId="21215BAE" w14:textId="77777777" w:rsidR="00434EFE" w:rsidRDefault="00000000">
      <w:pPr>
        <w:spacing w:before="40" w:after="160"/>
      </w:pPr>
      <w:r>
        <w:rPr>
          <w:i/>
          <w:color w:val="334155"/>
          <w:sz w:val="20"/>
        </w:rPr>
        <w:lastRenderedPageBreak/>
        <w:t>Explanation: For each clinical term j, a value of 1 is assigned if the clinical record documents that phenotype, and 0 if the feature is absent or unmentioned.</w:t>
      </w:r>
    </w:p>
    <w:p w14:paraId="17C6F65C" w14:textId="77777777" w:rsidR="00434EFE" w:rsidRDefault="00000000">
      <w:pPr>
        <w:keepNext/>
        <w:spacing w:before="240" w:after="80"/>
      </w:pPr>
      <w:r>
        <w:rPr>
          <w:b/>
          <w:color w:val="0D9488"/>
          <w:sz w:val="24"/>
        </w:rPr>
        <w:t>4.3 Random Forest Probability Estimation</w:t>
      </w:r>
    </w:p>
    <w:tbl>
      <w:tblPr>
        <w:tblW w:w="0" w:type="auto"/>
        <w:jc w:val="center"/>
        <w:tblLook w:val="04A0" w:firstRow="1" w:lastRow="0" w:firstColumn="1" w:lastColumn="0" w:noHBand="0" w:noVBand="1"/>
      </w:tblPr>
      <w:tblGrid>
        <w:gridCol w:w="9360"/>
      </w:tblGrid>
      <w:tr w:rsidR="00434EFE" w14:paraId="7AF19C63" w14:textId="77777777">
        <w:trPr>
          <w:jc w:val="center"/>
        </w:trPr>
        <w:tc>
          <w:tcPr>
            <w:tcW w:w="9360" w:type="dxa"/>
            <w:shd w:val="clear" w:color="auto" w:fill="F8FAFC"/>
          </w:tcPr>
          <w:p w14:paraId="46E5DA39" w14:textId="77777777" w:rsidR="00434EFE" w:rsidRDefault="00000000">
            <w:pPr>
              <w:spacing w:before="80" w:after="80"/>
              <w:jc w:val="center"/>
            </w:pPr>
            <w:r>
              <w:rPr>
                <w:b/>
                <w:color w:val="1E3A8A"/>
              </w:rPr>
              <w:t>P(y = c | x) = (1 / T) * Σ I(h_t(x) = c)</w:t>
            </w:r>
          </w:p>
        </w:tc>
      </w:tr>
    </w:tbl>
    <w:p w14:paraId="22098072" w14:textId="77777777" w:rsidR="00434EFE" w:rsidRDefault="00000000">
      <w:pPr>
        <w:spacing w:before="40" w:after="160"/>
      </w:pPr>
      <w:r>
        <w:rPr>
          <w:i/>
          <w:color w:val="334155"/>
          <w:sz w:val="20"/>
        </w:rPr>
        <w:t>Explanation: The ensemble consists of T = 100 decision trees h_t(x). The estimated probability for class c is the proportion of trees voting for that class, where I(.) is the indicator function.</w:t>
      </w:r>
    </w:p>
    <w:p w14:paraId="61916044" w14:textId="77777777" w:rsidR="00434EFE" w:rsidRDefault="00000000">
      <w:pPr>
        <w:keepNext/>
        <w:spacing w:before="240" w:after="80"/>
      </w:pPr>
      <w:r>
        <w:rPr>
          <w:b/>
          <w:color w:val="0D9488"/>
          <w:sz w:val="24"/>
        </w:rPr>
        <w:t>4.4 Predicted Disease Class</w:t>
      </w:r>
    </w:p>
    <w:tbl>
      <w:tblPr>
        <w:tblW w:w="0" w:type="auto"/>
        <w:jc w:val="center"/>
        <w:tblLook w:val="04A0" w:firstRow="1" w:lastRow="0" w:firstColumn="1" w:lastColumn="0" w:noHBand="0" w:noVBand="1"/>
      </w:tblPr>
      <w:tblGrid>
        <w:gridCol w:w="9360"/>
      </w:tblGrid>
      <w:tr w:rsidR="00434EFE" w14:paraId="6FA429C6" w14:textId="77777777">
        <w:trPr>
          <w:jc w:val="center"/>
        </w:trPr>
        <w:tc>
          <w:tcPr>
            <w:tcW w:w="9360" w:type="dxa"/>
            <w:shd w:val="clear" w:color="auto" w:fill="F8FAFC"/>
          </w:tcPr>
          <w:p w14:paraId="2126FC27" w14:textId="77777777" w:rsidR="00434EFE" w:rsidRDefault="00000000">
            <w:pPr>
              <w:spacing w:before="80" w:after="80"/>
              <w:jc w:val="center"/>
            </w:pPr>
            <w:r>
              <w:rPr>
                <w:b/>
                <w:color w:val="1E3A8A"/>
              </w:rPr>
              <w:t>ŷ = argmax_c P(y = c | x)</w:t>
            </w:r>
          </w:p>
        </w:tc>
      </w:tr>
    </w:tbl>
    <w:p w14:paraId="07E38752" w14:textId="77777777" w:rsidR="00434EFE" w:rsidRDefault="00000000">
      <w:pPr>
        <w:spacing w:before="40" w:after="160"/>
      </w:pPr>
      <w:r>
        <w:rPr>
          <w:i/>
          <w:color w:val="334155"/>
          <w:sz w:val="20"/>
        </w:rPr>
        <w:t>Explanation: The predicted class ŷ is the syndrome receiving the highest estimated probability among the three target conditions (0: White-Sutton, 1: Xia-Gibbs, 2: KBG syndrome).</w:t>
      </w:r>
    </w:p>
    <w:p w14:paraId="3ECB07F7" w14:textId="77777777" w:rsidR="00434EFE" w:rsidRDefault="00000000">
      <w:pPr>
        <w:keepNext/>
        <w:spacing w:before="240" w:after="80"/>
      </w:pPr>
      <w:r>
        <w:rPr>
          <w:b/>
          <w:color w:val="0D9488"/>
          <w:sz w:val="24"/>
        </w:rPr>
        <w:t>4.5 Classification Accuracy</w:t>
      </w:r>
    </w:p>
    <w:tbl>
      <w:tblPr>
        <w:tblW w:w="0" w:type="auto"/>
        <w:jc w:val="center"/>
        <w:tblLook w:val="04A0" w:firstRow="1" w:lastRow="0" w:firstColumn="1" w:lastColumn="0" w:noHBand="0" w:noVBand="1"/>
      </w:tblPr>
      <w:tblGrid>
        <w:gridCol w:w="9360"/>
      </w:tblGrid>
      <w:tr w:rsidR="00434EFE" w14:paraId="4DFA96B4" w14:textId="77777777">
        <w:trPr>
          <w:jc w:val="center"/>
        </w:trPr>
        <w:tc>
          <w:tcPr>
            <w:tcW w:w="9360" w:type="dxa"/>
            <w:shd w:val="clear" w:color="auto" w:fill="F8FAFC"/>
          </w:tcPr>
          <w:p w14:paraId="0DFD6AE5" w14:textId="77777777" w:rsidR="00434EFE" w:rsidRDefault="00000000">
            <w:pPr>
              <w:spacing w:before="80" w:after="80"/>
              <w:jc w:val="center"/>
            </w:pPr>
            <w:r>
              <w:rPr>
                <w:b/>
                <w:color w:val="1E3A8A"/>
              </w:rPr>
              <w:t>Accuracy = Correct Classifications / Total Evaluated Patients</w:t>
            </w:r>
          </w:p>
        </w:tc>
      </w:tr>
    </w:tbl>
    <w:p w14:paraId="2174441F" w14:textId="77777777" w:rsidR="00434EFE" w:rsidRDefault="00000000">
      <w:pPr>
        <w:spacing w:before="40" w:after="160"/>
      </w:pPr>
      <w:r>
        <w:rPr>
          <w:i/>
          <w:color w:val="334155"/>
          <w:sz w:val="20"/>
        </w:rPr>
        <w:t>Explanation: Accuracy measures the fraction of patients whose syndrome was correctly identified across the evaluation sample N.</w:t>
      </w:r>
    </w:p>
    <w:p w14:paraId="04660CBE" w14:textId="77777777" w:rsidR="00434EFE" w:rsidRDefault="00000000">
      <w:pPr>
        <w:keepNext/>
        <w:spacing w:before="240" w:after="80"/>
      </w:pPr>
      <w:r>
        <w:rPr>
          <w:b/>
          <w:color w:val="0D9488"/>
          <w:sz w:val="24"/>
        </w:rPr>
        <w:t>4.6 Precision (Positive Predictive Value)</w:t>
      </w:r>
    </w:p>
    <w:tbl>
      <w:tblPr>
        <w:tblW w:w="0" w:type="auto"/>
        <w:jc w:val="center"/>
        <w:tblLook w:val="04A0" w:firstRow="1" w:lastRow="0" w:firstColumn="1" w:lastColumn="0" w:noHBand="0" w:noVBand="1"/>
      </w:tblPr>
      <w:tblGrid>
        <w:gridCol w:w="9360"/>
      </w:tblGrid>
      <w:tr w:rsidR="00434EFE" w14:paraId="535F1644" w14:textId="77777777">
        <w:trPr>
          <w:jc w:val="center"/>
        </w:trPr>
        <w:tc>
          <w:tcPr>
            <w:tcW w:w="9360" w:type="dxa"/>
            <w:shd w:val="clear" w:color="auto" w:fill="F8FAFC"/>
          </w:tcPr>
          <w:p w14:paraId="5A038055" w14:textId="77777777" w:rsidR="00434EFE" w:rsidRDefault="00000000">
            <w:pPr>
              <w:spacing w:before="80" w:after="80"/>
              <w:jc w:val="center"/>
            </w:pPr>
            <w:r>
              <w:rPr>
                <w:b/>
                <w:color w:val="1E3A8A"/>
              </w:rPr>
              <w:t>Precision = TP / (TP + FP)</w:t>
            </w:r>
          </w:p>
        </w:tc>
      </w:tr>
    </w:tbl>
    <w:p w14:paraId="01E6234C" w14:textId="77777777" w:rsidR="00434EFE" w:rsidRDefault="00000000">
      <w:pPr>
        <w:spacing w:before="40" w:after="160"/>
      </w:pPr>
      <w:r>
        <w:rPr>
          <w:i/>
          <w:color w:val="334155"/>
          <w:sz w:val="20"/>
        </w:rPr>
        <w:t>Explanation: Precision measures the proportion of patients assigned to a syndrome who truly have that condition, where TP is True Positives and FP is False Positives.</w:t>
      </w:r>
    </w:p>
    <w:p w14:paraId="74E4BFFF" w14:textId="77777777" w:rsidR="00434EFE" w:rsidRDefault="00000000">
      <w:pPr>
        <w:keepNext/>
        <w:spacing w:before="240" w:after="80"/>
      </w:pPr>
      <w:r>
        <w:rPr>
          <w:b/>
          <w:color w:val="0D9488"/>
          <w:sz w:val="24"/>
        </w:rPr>
        <w:t>4.7 Recall (Sensitivity)</w:t>
      </w:r>
    </w:p>
    <w:tbl>
      <w:tblPr>
        <w:tblW w:w="0" w:type="auto"/>
        <w:jc w:val="center"/>
        <w:tblLook w:val="04A0" w:firstRow="1" w:lastRow="0" w:firstColumn="1" w:lastColumn="0" w:noHBand="0" w:noVBand="1"/>
      </w:tblPr>
      <w:tblGrid>
        <w:gridCol w:w="9360"/>
      </w:tblGrid>
      <w:tr w:rsidR="00434EFE" w14:paraId="3E54EDC8" w14:textId="77777777">
        <w:trPr>
          <w:jc w:val="center"/>
        </w:trPr>
        <w:tc>
          <w:tcPr>
            <w:tcW w:w="9360" w:type="dxa"/>
            <w:shd w:val="clear" w:color="auto" w:fill="F8FAFC"/>
          </w:tcPr>
          <w:p w14:paraId="06A68BFC" w14:textId="77777777" w:rsidR="00434EFE" w:rsidRDefault="00000000">
            <w:pPr>
              <w:spacing w:before="80" w:after="80"/>
              <w:jc w:val="center"/>
            </w:pPr>
            <w:r>
              <w:rPr>
                <w:b/>
                <w:color w:val="1E3A8A"/>
              </w:rPr>
              <w:t>Recall = TP / (TP + FN)</w:t>
            </w:r>
          </w:p>
        </w:tc>
      </w:tr>
    </w:tbl>
    <w:p w14:paraId="5B32E413" w14:textId="77777777" w:rsidR="00434EFE" w:rsidRDefault="00000000">
      <w:pPr>
        <w:spacing w:before="40" w:after="160"/>
      </w:pPr>
      <w:r>
        <w:rPr>
          <w:i/>
          <w:color w:val="334155"/>
          <w:sz w:val="20"/>
        </w:rPr>
        <w:t>Explanation: Recall measures the proportion of actual patients with a syndrome who were correctly identified by the model, where FN is False Negatives.</w:t>
      </w:r>
    </w:p>
    <w:p w14:paraId="4A64A59D" w14:textId="77777777" w:rsidR="00434EFE" w:rsidRDefault="00000000">
      <w:pPr>
        <w:keepNext/>
        <w:spacing w:before="240" w:after="80"/>
      </w:pPr>
      <w:r>
        <w:rPr>
          <w:b/>
          <w:color w:val="0D9488"/>
          <w:sz w:val="24"/>
        </w:rPr>
        <w:t>4.8 F1-Score</w:t>
      </w:r>
    </w:p>
    <w:tbl>
      <w:tblPr>
        <w:tblW w:w="0" w:type="auto"/>
        <w:jc w:val="center"/>
        <w:tblLook w:val="04A0" w:firstRow="1" w:lastRow="0" w:firstColumn="1" w:lastColumn="0" w:noHBand="0" w:noVBand="1"/>
      </w:tblPr>
      <w:tblGrid>
        <w:gridCol w:w="9360"/>
      </w:tblGrid>
      <w:tr w:rsidR="00434EFE" w14:paraId="2D510902" w14:textId="77777777">
        <w:trPr>
          <w:jc w:val="center"/>
        </w:trPr>
        <w:tc>
          <w:tcPr>
            <w:tcW w:w="9360" w:type="dxa"/>
            <w:shd w:val="clear" w:color="auto" w:fill="F8FAFC"/>
          </w:tcPr>
          <w:p w14:paraId="1232436B" w14:textId="77777777" w:rsidR="00434EFE" w:rsidRDefault="00000000">
            <w:pPr>
              <w:spacing w:before="80" w:after="80"/>
              <w:jc w:val="center"/>
            </w:pPr>
            <w:r>
              <w:rPr>
                <w:b/>
                <w:color w:val="1E3A8A"/>
              </w:rPr>
              <w:t>F1 = 2 * (Precision * Recall) / (Precision + Recall)</w:t>
            </w:r>
          </w:p>
        </w:tc>
      </w:tr>
    </w:tbl>
    <w:p w14:paraId="18D360DB" w14:textId="77777777" w:rsidR="00434EFE" w:rsidRDefault="00000000">
      <w:pPr>
        <w:spacing w:before="40" w:after="160"/>
      </w:pPr>
      <w:r>
        <w:rPr>
          <w:i/>
          <w:color w:val="334155"/>
          <w:sz w:val="20"/>
        </w:rPr>
        <w:t>Explanation: The F1-score is the harmonic mean of precision and recall, balancing sensitivity and positive predictive value.</w:t>
      </w:r>
    </w:p>
    <w:p w14:paraId="00375DD8" w14:textId="77777777" w:rsidR="00434EFE" w:rsidRDefault="00000000">
      <w:pPr>
        <w:keepNext/>
        <w:spacing w:before="240" w:after="80"/>
      </w:pPr>
      <w:r>
        <w:rPr>
          <w:b/>
          <w:color w:val="0D9488"/>
          <w:sz w:val="24"/>
        </w:rPr>
        <w:t>4.9 Balanced Accuracy</w:t>
      </w:r>
    </w:p>
    <w:tbl>
      <w:tblPr>
        <w:tblW w:w="0" w:type="auto"/>
        <w:jc w:val="center"/>
        <w:tblLook w:val="04A0" w:firstRow="1" w:lastRow="0" w:firstColumn="1" w:lastColumn="0" w:noHBand="0" w:noVBand="1"/>
      </w:tblPr>
      <w:tblGrid>
        <w:gridCol w:w="9360"/>
      </w:tblGrid>
      <w:tr w:rsidR="00434EFE" w14:paraId="1B39D071" w14:textId="77777777">
        <w:trPr>
          <w:jc w:val="center"/>
        </w:trPr>
        <w:tc>
          <w:tcPr>
            <w:tcW w:w="9360" w:type="dxa"/>
            <w:shd w:val="clear" w:color="auto" w:fill="F8FAFC"/>
          </w:tcPr>
          <w:p w14:paraId="6717E85B" w14:textId="77777777" w:rsidR="00434EFE" w:rsidRDefault="00000000">
            <w:pPr>
              <w:spacing w:before="80" w:after="80"/>
              <w:jc w:val="center"/>
            </w:pPr>
            <w:r>
              <w:rPr>
                <w:b/>
                <w:color w:val="1E3A8A"/>
              </w:rPr>
              <w:t>Balanced Accuracy = (1 / C) * Σ Recall_c</w:t>
            </w:r>
          </w:p>
        </w:tc>
      </w:tr>
    </w:tbl>
    <w:p w14:paraId="13FE37B3" w14:textId="77777777" w:rsidR="00434EFE" w:rsidRDefault="00000000">
      <w:pPr>
        <w:spacing w:before="40" w:after="160"/>
      </w:pPr>
      <w:r>
        <w:rPr>
          <w:i/>
          <w:color w:val="334155"/>
          <w:sz w:val="20"/>
        </w:rPr>
        <w:t>Explanation: Balanced accuracy is the unweighted arithmetic mean of recall across all C = 3 syndromes, ensuring that the majority class does not dominate evaluation.</w:t>
      </w:r>
    </w:p>
    <w:p w14:paraId="1AAB8DCB" w14:textId="77777777" w:rsidR="00434EFE" w:rsidRDefault="00000000">
      <w:pPr>
        <w:keepNext/>
        <w:spacing w:before="240" w:after="80"/>
      </w:pPr>
      <w:r>
        <w:rPr>
          <w:b/>
          <w:color w:val="0D9488"/>
          <w:sz w:val="24"/>
        </w:rPr>
        <w:lastRenderedPageBreak/>
        <w:t>4.10 SHAP Additive Feature Attribution</w:t>
      </w:r>
    </w:p>
    <w:tbl>
      <w:tblPr>
        <w:tblW w:w="0" w:type="auto"/>
        <w:jc w:val="center"/>
        <w:tblLook w:val="04A0" w:firstRow="1" w:lastRow="0" w:firstColumn="1" w:lastColumn="0" w:noHBand="0" w:noVBand="1"/>
      </w:tblPr>
      <w:tblGrid>
        <w:gridCol w:w="9360"/>
      </w:tblGrid>
      <w:tr w:rsidR="00434EFE" w14:paraId="2E744E3B" w14:textId="77777777">
        <w:trPr>
          <w:jc w:val="center"/>
        </w:trPr>
        <w:tc>
          <w:tcPr>
            <w:tcW w:w="9360" w:type="dxa"/>
            <w:shd w:val="clear" w:color="auto" w:fill="F8FAFC"/>
          </w:tcPr>
          <w:p w14:paraId="426B6E53" w14:textId="77777777" w:rsidR="00434EFE" w:rsidRDefault="00000000">
            <w:pPr>
              <w:spacing w:before="80" w:after="80"/>
              <w:jc w:val="center"/>
            </w:pPr>
            <w:r>
              <w:rPr>
                <w:b/>
                <w:color w:val="1E3A8A"/>
              </w:rPr>
              <w:t>f_c(x) = φ0,c + Σ φj,c</w:t>
            </w:r>
          </w:p>
        </w:tc>
      </w:tr>
    </w:tbl>
    <w:p w14:paraId="3EE9EC60" w14:textId="77777777" w:rsidR="00434EFE" w:rsidRDefault="00000000">
      <w:pPr>
        <w:spacing w:before="40" w:after="160"/>
      </w:pPr>
      <w:r>
        <w:rPr>
          <w:i/>
          <w:color w:val="334155"/>
          <w:sz w:val="20"/>
        </w:rPr>
        <w:t>Explanation: TreeSHAP decomposes the model prediction for class c into a base expectation φ0,c plus the additive sum of individual feature attributions φj,c. A positive φj,c increases the model's output probability for class c, while a negative value decreases it.</w:t>
      </w:r>
    </w:p>
    <w:p w14:paraId="2F1DE888" w14:textId="77777777" w:rsidR="00434EFE" w:rsidRDefault="00000000">
      <w:pPr>
        <w:keepNext/>
        <w:spacing w:before="320"/>
      </w:pPr>
      <w:r>
        <w:rPr>
          <w:b/>
          <w:color w:val="1E3A8A"/>
          <w:sz w:val="28"/>
        </w:rPr>
        <w:t>5. Model Methodologies</w:t>
      </w:r>
    </w:p>
    <w:p w14:paraId="296E7217" w14:textId="77777777" w:rsidR="00434EFE" w:rsidRDefault="00000000">
      <w:pPr>
        <w:jc w:val="both"/>
      </w:pPr>
      <w:r>
        <w:t>Figure 2 illustrates the overall system workflow of RareDXAI, from literature curation to calibrated prediction and SHAP interpretation.</w:t>
      </w:r>
    </w:p>
    <w:p w14:paraId="0D1B972D" w14:textId="77777777" w:rsidR="00434EFE" w:rsidRDefault="00000000">
      <w:pPr>
        <w:keepNext/>
        <w:spacing w:before="160" w:after="80"/>
        <w:jc w:val="center"/>
      </w:pPr>
      <w:r>
        <w:rPr>
          <w:noProof/>
        </w:rPr>
        <w:drawing>
          <wp:inline distT="0" distB="0" distL="0" distR="0" wp14:anchorId="5D9E024A" wp14:editId="11CAB118">
            <wp:extent cx="5486400" cy="3205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png"/>
                    <pic:cNvPicPr/>
                  </pic:nvPicPr>
                  <pic:blipFill>
                    <a:blip r:embed="rId7"/>
                    <a:stretch>
                      <a:fillRect/>
                    </a:stretch>
                  </pic:blipFill>
                  <pic:spPr>
                    <a:xfrm>
                      <a:off x="0" y="0"/>
                      <a:ext cx="5486400" cy="3205213"/>
                    </a:xfrm>
                    <a:prstGeom prst="rect">
                      <a:avLst/>
                    </a:prstGeom>
                  </pic:spPr>
                </pic:pic>
              </a:graphicData>
            </a:graphic>
          </wp:inline>
        </w:drawing>
      </w:r>
    </w:p>
    <w:p w14:paraId="76836360" w14:textId="77777777" w:rsidR="00434EFE" w:rsidRDefault="00000000">
      <w:pPr>
        <w:spacing w:after="240"/>
        <w:jc w:val="center"/>
      </w:pPr>
      <w:r>
        <w:rPr>
          <w:i/>
          <w:color w:val="475569"/>
          <w:sz w:val="19"/>
        </w:rPr>
        <w:t>Figure 2. RareDXAI system workflow diagram. The pipeline processes published clinical case reports through standardized HPO concept mapping, executes profile-grouped stratified splitting to reduce profile leakage, trains a calibrated Random Forest classifier with Platt scaling, and outputs calibrated multi-class probabilities alongside SHAP feature attributions.</w:t>
      </w:r>
    </w:p>
    <w:p w14:paraId="29884566" w14:textId="77777777" w:rsidR="00434EFE" w:rsidRDefault="00000000">
      <w:pPr>
        <w:keepNext/>
        <w:spacing w:before="240" w:after="80"/>
      </w:pPr>
      <w:r>
        <w:rPr>
          <w:b/>
          <w:color w:val="0D9488"/>
          <w:sz w:val="24"/>
        </w:rPr>
        <w:t>5.1 Cohort Assembly and Literature Curation Protocol</w:t>
      </w:r>
    </w:p>
    <w:p w14:paraId="6BDB26B4" w14:textId="77777777" w:rsidR="00434EFE" w:rsidRDefault="00000000">
      <w:pPr>
        <w:jc w:val="both"/>
      </w:pPr>
      <w:r>
        <w:t>Patient data were gathered through structured curation of peer-reviewed clinical genetics literature. In total, 52 literature sources were evaluated during curation.</w:t>
      </w:r>
    </w:p>
    <w:p w14:paraId="5168C0A0" w14:textId="77777777" w:rsidR="00434EFE" w:rsidRDefault="00000000">
      <w:pPr>
        <w:jc w:val="both"/>
      </w:pPr>
      <w:r>
        <w:t>To maintain data integrity and avoid duplicate patient entries, we established a quarantine protocol:</w:t>
      </w:r>
    </w:p>
    <w:p w14:paraId="3AB29012" w14:textId="77777777" w:rsidR="00434EFE" w:rsidRDefault="00000000">
      <w:pPr>
        <w:jc w:val="both"/>
      </w:pPr>
      <w:r>
        <w:t>• Secondary Review Compilations: Low et al. (2016, Lancet) included a summary table (Table 2) compiling 32 previously published KBG cases. Because we directly extracted the primary discovery publications, all 32 duplicate review entries were quarantined.</w:t>
      </w:r>
    </w:p>
    <w:p w14:paraId="6F4DC320" w14:textId="77777777" w:rsidR="00434EFE" w:rsidRDefault="00000000">
      <w:pPr>
        <w:jc w:val="both"/>
      </w:pPr>
      <w:r>
        <w:lastRenderedPageBreak/>
        <w:t>• Overlapping Case Series: Ockeloen et al. (2015) (20 candidate records) and Walz et al. (2015) (6 candidate records) were quarantined due to substantial cross-cohort patient overlap with Goldenberg et al. (2016).</w:t>
      </w:r>
    </w:p>
    <w:p w14:paraId="1543927F" w14:textId="77777777" w:rsidR="00434EFE" w:rsidRDefault="00000000">
      <w:pPr>
        <w:jc w:val="both"/>
      </w:pPr>
      <w:r>
        <w:t>• Re-reported Single Cases: Low et al. (2017) (1 candidate record) was quarantined as a duplicate of an earlier UK cohort entry.</w:t>
      </w:r>
    </w:p>
    <w:p w14:paraId="5C57CCF4" w14:textId="77777777" w:rsidR="00434EFE" w:rsidRDefault="00000000">
      <w:pPr>
        <w:jc w:val="both"/>
      </w:pPr>
      <w:r>
        <w:t>Under this protocol, four secondary, overlapping, or re-reported sources containing 59 candidate records were quarantined under the predefined duplicate/secondary-source exclusion protocol. The final audited cohort contains 385 unique patients across 48 included peer-reviewed publications, all with molecularly confirmed pathogenic variants.</w:t>
      </w:r>
    </w:p>
    <w:p w14:paraId="2F5E9D09" w14:textId="77777777" w:rsidR="00434EFE" w:rsidRDefault="00000000">
      <w:pPr>
        <w:keepNext/>
        <w:spacing w:before="160" w:after="80"/>
        <w:jc w:val="center"/>
      </w:pPr>
      <w:r>
        <w:rPr>
          <w:noProof/>
        </w:rPr>
        <w:drawing>
          <wp:inline distT="0" distB="0" distL="0" distR="0" wp14:anchorId="27F8AD5A" wp14:editId="0A1F220D">
            <wp:extent cx="5486400" cy="40946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rovenance_flowchart.png"/>
                    <pic:cNvPicPr/>
                  </pic:nvPicPr>
                  <pic:blipFill>
                    <a:blip r:embed="rId8"/>
                    <a:stretch>
                      <a:fillRect/>
                    </a:stretch>
                  </pic:blipFill>
                  <pic:spPr>
                    <a:xfrm>
                      <a:off x="0" y="0"/>
                      <a:ext cx="5486400" cy="4094672"/>
                    </a:xfrm>
                    <a:prstGeom prst="rect">
                      <a:avLst/>
                    </a:prstGeom>
                  </pic:spPr>
                </pic:pic>
              </a:graphicData>
            </a:graphic>
          </wp:inline>
        </w:drawing>
      </w:r>
    </w:p>
    <w:p w14:paraId="5BBB276D" w14:textId="77777777" w:rsidR="00434EFE" w:rsidRDefault="00000000">
      <w:pPr>
        <w:spacing w:after="240"/>
        <w:jc w:val="center"/>
      </w:pPr>
      <w:r>
        <w:rPr>
          <w:i/>
          <w:color w:val="475569"/>
          <w:sz w:val="19"/>
        </w:rPr>
        <w:t>Figure 3. Literature curation and cohort provenance flowchart. From 52 candidate literature sources evaluated during curation, 4 duplicate/secondary sources (59 candidate records) were quarantined, leaving 48 included publications and 385 verified patients.</w:t>
      </w:r>
    </w:p>
    <w:p w14:paraId="35E4738A" w14:textId="77777777" w:rsidR="00434EFE" w:rsidRDefault="00000000">
      <w:pPr>
        <w:keepNext/>
        <w:spacing w:before="200" w:after="80"/>
      </w:pPr>
      <w:r>
        <w:rPr>
          <w:b/>
          <w:color w:val="1E3A8A"/>
          <w:sz w:val="20"/>
        </w:rPr>
        <w:t>Table 2. Literature Provenance and Source Attribution</w:t>
      </w:r>
    </w:p>
    <w:tbl>
      <w:tblPr>
        <w:tblW w:w="0" w:type="auto"/>
        <w:jc w:val="center"/>
        <w:tblLook w:val="04A0" w:firstRow="1" w:lastRow="0" w:firstColumn="1" w:lastColumn="0" w:noHBand="0" w:noVBand="1"/>
      </w:tblPr>
      <w:tblGrid>
        <w:gridCol w:w="2198"/>
        <w:gridCol w:w="1509"/>
        <w:gridCol w:w="1806"/>
        <w:gridCol w:w="1591"/>
        <w:gridCol w:w="2472"/>
      </w:tblGrid>
      <w:tr w:rsidR="00434EFE" w14:paraId="44F250ED" w14:textId="77777777">
        <w:trPr>
          <w:cantSplit/>
          <w:tblHeader/>
          <w:jc w:val="center"/>
        </w:trPr>
        <w:tc>
          <w:tcPr>
            <w:tcW w:w="2592" w:type="dxa"/>
            <w:shd w:val="clear" w:color="auto" w:fill="1E3A8A"/>
          </w:tcPr>
          <w:p w14:paraId="1831410A" w14:textId="77777777" w:rsidR="00434EFE" w:rsidRDefault="00000000">
            <w:pPr>
              <w:spacing w:before="60" w:after="60"/>
              <w:jc w:val="center"/>
            </w:pPr>
            <w:r>
              <w:rPr>
                <w:b/>
                <w:color w:val="FFFFFF"/>
                <w:sz w:val="18"/>
              </w:rPr>
              <w:t>Syndrome Cohort</w:t>
            </w:r>
          </w:p>
        </w:tc>
        <w:tc>
          <w:tcPr>
            <w:tcW w:w="1728" w:type="dxa"/>
            <w:shd w:val="clear" w:color="auto" w:fill="1E3A8A"/>
          </w:tcPr>
          <w:p w14:paraId="3498D02F" w14:textId="77777777" w:rsidR="00434EFE" w:rsidRDefault="00000000">
            <w:pPr>
              <w:spacing w:before="60" w:after="60"/>
              <w:jc w:val="center"/>
            </w:pPr>
            <w:r>
              <w:rPr>
                <w:b/>
                <w:color w:val="FFFFFF"/>
                <w:sz w:val="18"/>
              </w:rPr>
              <w:t>Verified Patients (n)</w:t>
            </w:r>
          </w:p>
        </w:tc>
        <w:tc>
          <w:tcPr>
            <w:tcW w:w="2016" w:type="dxa"/>
            <w:shd w:val="clear" w:color="auto" w:fill="1E3A8A"/>
          </w:tcPr>
          <w:p w14:paraId="657773B6" w14:textId="77777777" w:rsidR="00434EFE" w:rsidRDefault="00000000">
            <w:pPr>
              <w:spacing w:before="60" w:after="60"/>
              <w:jc w:val="center"/>
            </w:pPr>
            <w:r>
              <w:rPr>
                <w:b/>
                <w:color w:val="FFFFFF"/>
                <w:sz w:val="18"/>
              </w:rPr>
              <w:t>Contributing Publications (n)</w:t>
            </w:r>
          </w:p>
        </w:tc>
        <w:tc>
          <w:tcPr>
            <w:tcW w:w="1728" w:type="dxa"/>
            <w:shd w:val="clear" w:color="auto" w:fill="1E3A8A"/>
          </w:tcPr>
          <w:p w14:paraId="329F08C0" w14:textId="77777777" w:rsidR="00434EFE" w:rsidRDefault="00000000">
            <w:pPr>
              <w:spacing w:before="60" w:after="60"/>
              <w:jc w:val="center"/>
            </w:pPr>
            <w:r>
              <w:rPr>
                <w:b/>
                <w:color w:val="FFFFFF"/>
                <w:sz w:val="18"/>
              </w:rPr>
              <w:t>Quarantined Records (n)</w:t>
            </w:r>
          </w:p>
        </w:tc>
        <w:tc>
          <w:tcPr>
            <w:tcW w:w="2880" w:type="dxa"/>
            <w:shd w:val="clear" w:color="auto" w:fill="1E3A8A"/>
          </w:tcPr>
          <w:p w14:paraId="1A1F7C5A" w14:textId="77777777" w:rsidR="00434EFE" w:rsidRDefault="00000000">
            <w:pPr>
              <w:spacing w:before="60" w:after="60"/>
              <w:jc w:val="center"/>
            </w:pPr>
            <w:r>
              <w:rPr>
                <w:b/>
                <w:color w:val="FFFFFF"/>
                <w:sz w:val="18"/>
              </w:rPr>
              <w:t>Primary Genetic Confirmation</w:t>
            </w:r>
          </w:p>
        </w:tc>
      </w:tr>
      <w:tr w:rsidR="00434EFE" w14:paraId="38AE9354" w14:textId="77777777">
        <w:trPr>
          <w:cantSplit/>
          <w:jc w:val="center"/>
        </w:trPr>
        <w:tc>
          <w:tcPr>
            <w:tcW w:w="2592" w:type="dxa"/>
            <w:shd w:val="clear" w:color="auto" w:fill="FFFFFF"/>
          </w:tcPr>
          <w:p w14:paraId="1F1771D6" w14:textId="77777777" w:rsidR="00434EFE" w:rsidRDefault="00000000">
            <w:pPr>
              <w:spacing w:before="40" w:after="40"/>
            </w:pPr>
            <w:r>
              <w:rPr>
                <w:sz w:val="17"/>
              </w:rPr>
              <w:t>KBG Syndrome</w:t>
            </w:r>
          </w:p>
        </w:tc>
        <w:tc>
          <w:tcPr>
            <w:tcW w:w="1728" w:type="dxa"/>
            <w:shd w:val="clear" w:color="auto" w:fill="FFFFFF"/>
          </w:tcPr>
          <w:p w14:paraId="6176DB22" w14:textId="77777777" w:rsidR="00434EFE" w:rsidRDefault="00000000">
            <w:pPr>
              <w:spacing w:before="40" w:after="40"/>
              <w:jc w:val="center"/>
            </w:pPr>
            <w:r>
              <w:rPr>
                <w:sz w:val="17"/>
              </w:rPr>
              <w:t>298</w:t>
            </w:r>
          </w:p>
        </w:tc>
        <w:tc>
          <w:tcPr>
            <w:tcW w:w="2016" w:type="dxa"/>
            <w:shd w:val="clear" w:color="auto" w:fill="FFFFFF"/>
          </w:tcPr>
          <w:p w14:paraId="27C190A1" w14:textId="77777777" w:rsidR="00434EFE" w:rsidRDefault="00000000">
            <w:pPr>
              <w:spacing w:before="40" w:after="40"/>
              <w:jc w:val="center"/>
            </w:pPr>
            <w:r>
              <w:rPr>
                <w:sz w:val="17"/>
              </w:rPr>
              <w:t>39</w:t>
            </w:r>
          </w:p>
        </w:tc>
        <w:tc>
          <w:tcPr>
            <w:tcW w:w="1728" w:type="dxa"/>
            <w:shd w:val="clear" w:color="auto" w:fill="FFFFFF"/>
          </w:tcPr>
          <w:p w14:paraId="47D62BD5" w14:textId="77777777" w:rsidR="00434EFE" w:rsidRDefault="00000000">
            <w:pPr>
              <w:spacing w:before="40" w:after="40"/>
              <w:jc w:val="center"/>
            </w:pPr>
            <w:r>
              <w:rPr>
                <w:sz w:val="17"/>
              </w:rPr>
              <w:t>59</w:t>
            </w:r>
          </w:p>
        </w:tc>
        <w:tc>
          <w:tcPr>
            <w:tcW w:w="2880" w:type="dxa"/>
            <w:shd w:val="clear" w:color="auto" w:fill="FFFFFF"/>
          </w:tcPr>
          <w:p w14:paraId="7E5C5ED2" w14:textId="77777777" w:rsidR="00434EFE" w:rsidRDefault="00000000">
            <w:pPr>
              <w:spacing w:before="40" w:after="40"/>
              <w:jc w:val="center"/>
            </w:pPr>
            <w:r>
              <w:rPr>
                <w:sz w:val="17"/>
              </w:rPr>
              <w:t>Pathogenic ANKRD11 mutation / 16q24.3 deletion</w:t>
            </w:r>
          </w:p>
        </w:tc>
      </w:tr>
      <w:tr w:rsidR="00434EFE" w14:paraId="42D59159" w14:textId="77777777">
        <w:trPr>
          <w:cantSplit/>
          <w:jc w:val="center"/>
        </w:trPr>
        <w:tc>
          <w:tcPr>
            <w:tcW w:w="2592" w:type="dxa"/>
            <w:shd w:val="clear" w:color="auto" w:fill="F8FAFC"/>
          </w:tcPr>
          <w:p w14:paraId="1C56CCDE" w14:textId="77777777" w:rsidR="00434EFE" w:rsidRDefault="00000000">
            <w:pPr>
              <w:spacing w:before="40" w:after="40"/>
            </w:pPr>
            <w:r>
              <w:rPr>
                <w:sz w:val="17"/>
              </w:rPr>
              <w:t>White-Sutton Syndrome</w:t>
            </w:r>
          </w:p>
        </w:tc>
        <w:tc>
          <w:tcPr>
            <w:tcW w:w="1728" w:type="dxa"/>
            <w:shd w:val="clear" w:color="auto" w:fill="F8FAFC"/>
          </w:tcPr>
          <w:p w14:paraId="48FE21D6" w14:textId="77777777" w:rsidR="00434EFE" w:rsidRDefault="00000000">
            <w:pPr>
              <w:spacing w:before="40" w:after="40"/>
              <w:jc w:val="center"/>
            </w:pPr>
            <w:r>
              <w:rPr>
                <w:sz w:val="17"/>
              </w:rPr>
              <w:t>45</w:t>
            </w:r>
          </w:p>
        </w:tc>
        <w:tc>
          <w:tcPr>
            <w:tcW w:w="2016" w:type="dxa"/>
            <w:shd w:val="clear" w:color="auto" w:fill="F8FAFC"/>
          </w:tcPr>
          <w:p w14:paraId="5864E9A1" w14:textId="77777777" w:rsidR="00434EFE" w:rsidRDefault="00000000">
            <w:pPr>
              <w:spacing w:before="40" w:after="40"/>
              <w:jc w:val="center"/>
            </w:pPr>
            <w:r>
              <w:rPr>
                <w:sz w:val="17"/>
              </w:rPr>
              <w:t>4</w:t>
            </w:r>
          </w:p>
        </w:tc>
        <w:tc>
          <w:tcPr>
            <w:tcW w:w="1728" w:type="dxa"/>
            <w:shd w:val="clear" w:color="auto" w:fill="F8FAFC"/>
          </w:tcPr>
          <w:p w14:paraId="3263ABFE" w14:textId="77777777" w:rsidR="00434EFE" w:rsidRDefault="00000000">
            <w:pPr>
              <w:spacing w:before="40" w:after="40"/>
              <w:jc w:val="center"/>
            </w:pPr>
            <w:r>
              <w:rPr>
                <w:sz w:val="17"/>
              </w:rPr>
              <w:t>0</w:t>
            </w:r>
          </w:p>
        </w:tc>
        <w:tc>
          <w:tcPr>
            <w:tcW w:w="2880" w:type="dxa"/>
            <w:shd w:val="clear" w:color="auto" w:fill="F8FAFC"/>
          </w:tcPr>
          <w:p w14:paraId="34C9F555" w14:textId="77777777" w:rsidR="00434EFE" w:rsidRDefault="00000000">
            <w:pPr>
              <w:spacing w:before="40" w:after="40"/>
              <w:jc w:val="center"/>
            </w:pPr>
            <w:r>
              <w:rPr>
                <w:sz w:val="17"/>
              </w:rPr>
              <w:t>Heterozygous de novo POGZ pathogenic variant</w:t>
            </w:r>
          </w:p>
        </w:tc>
      </w:tr>
      <w:tr w:rsidR="00434EFE" w14:paraId="52A88C16" w14:textId="77777777">
        <w:trPr>
          <w:cantSplit/>
          <w:jc w:val="center"/>
        </w:trPr>
        <w:tc>
          <w:tcPr>
            <w:tcW w:w="2592" w:type="dxa"/>
            <w:shd w:val="clear" w:color="auto" w:fill="FFFFFF"/>
          </w:tcPr>
          <w:p w14:paraId="1635EA83" w14:textId="77777777" w:rsidR="00434EFE" w:rsidRDefault="00000000">
            <w:pPr>
              <w:spacing w:before="40" w:after="40"/>
            </w:pPr>
            <w:r>
              <w:rPr>
                <w:sz w:val="17"/>
              </w:rPr>
              <w:lastRenderedPageBreak/>
              <w:t>Xia-Gibbs Syndrome</w:t>
            </w:r>
          </w:p>
        </w:tc>
        <w:tc>
          <w:tcPr>
            <w:tcW w:w="1728" w:type="dxa"/>
            <w:shd w:val="clear" w:color="auto" w:fill="FFFFFF"/>
          </w:tcPr>
          <w:p w14:paraId="2D725BA3" w14:textId="77777777" w:rsidR="00434EFE" w:rsidRDefault="00000000">
            <w:pPr>
              <w:spacing w:before="40" w:after="40"/>
              <w:jc w:val="center"/>
            </w:pPr>
            <w:r>
              <w:rPr>
                <w:sz w:val="17"/>
              </w:rPr>
              <w:t>42</w:t>
            </w:r>
          </w:p>
        </w:tc>
        <w:tc>
          <w:tcPr>
            <w:tcW w:w="2016" w:type="dxa"/>
            <w:shd w:val="clear" w:color="auto" w:fill="FFFFFF"/>
          </w:tcPr>
          <w:p w14:paraId="173250F6" w14:textId="77777777" w:rsidR="00434EFE" w:rsidRDefault="00000000">
            <w:pPr>
              <w:spacing w:before="40" w:after="40"/>
              <w:jc w:val="center"/>
            </w:pPr>
            <w:r>
              <w:rPr>
                <w:sz w:val="17"/>
              </w:rPr>
              <w:t>5</w:t>
            </w:r>
          </w:p>
        </w:tc>
        <w:tc>
          <w:tcPr>
            <w:tcW w:w="1728" w:type="dxa"/>
            <w:shd w:val="clear" w:color="auto" w:fill="FFFFFF"/>
          </w:tcPr>
          <w:p w14:paraId="0058B18E" w14:textId="77777777" w:rsidR="00434EFE" w:rsidRDefault="00000000">
            <w:pPr>
              <w:spacing w:before="40" w:after="40"/>
              <w:jc w:val="center"/>
            </w:pPr>
            <w:r>
              <w:rPr>
                <w:sz w:val="17"/>
              </w:rPr>
              <w:t>0</w:t>
            </w:r>
          </w:p>
        </w:tc>
        <w:tc>
          <w:tcPr>
            <w:tcW w:w="2880" w:type="dxa"/>
            <w:shd w:val="clear" w:color="auto" w:fill="FFFFFF"/>
          </w:tcPr>
          <w:p w14:paraId="65A0534D" w14:textId="77777777" w:rsidR="00434EFE" w:rsidRDefault="00000000">
            <w:pPr>
              <w:spacing w:before="40" w:after="40"/>
              <w:jc w:val="center"/>
            </w:pPr>
            <w:r>
              <w:rPr>
                <w:sz w:val="17"/>
              </w:rPr>
              <w:t>Heterozygous de novo AHDC1 truncating variant</w:t>
            </w:r>
          </w:p>
        </w:tc>
      </w:tr>
      <w:tr w:rsidR="00434EFE" w14:paraId="06348739" w14:textId="77777777">
        <w:trPr>
          <w:cantSplit/>
          <w:jc w:val="center"/>
        </w:trPr>
        <w:tc>
          <w:tcPr>
            <w:tcW w:w="2592" w:type="dxa"/>
            <w:shd w:val="clear" w:color="auto" w:fill="F8FAFC"/>
          </w:tcPr>
          <w:p w14:paraId="27130B6D" w14:textId="77777777" w:rsidR="00434EFE" w:rsidRDefault="00000000">
            <w:pPr>
              <w:spacing w:before="40" w:after="40"/>
            </w:pPr>
            <w:r>
              <w:rPr>
                <w:b/>
                <w:sz w:val="17"/>
              </w:rPr>
              <w:t>Total Literature-Derived Cohort</w:t>
            </w:r>
          </w:p>
        </w:tc>
        <w:tc>
          <w:tcPr>
            <w:tcW w:w="1728" w:type="dxa"/>
            <w:shd w:val="clear" w:color="auto" w:fill="F8FAFC"/>
          </w:tcPr>
          <w:p w14:paraId="20AA0980" w14:textId="77777777" w:rsidR="00434EFE" w:rsidRDefault="00000000">
            <w:pPr>
              <w:spacing w:before="40" w:after="40"/>
              <w:jc w:val="center"/>
            </w:pPr>
            <w:r>
              <w:rPr>
                <w:b/>
                <w:sz w:val="17"/>
              </w:rPr>
              <w:t>385</w:t>
            </w:r>
          </w:p>
        </w:tc>
        <w:tc>
          <w:tcPr>
            <w:tcW w:w="2016" w:type="dxa"/>
            <w:shd w:val="clear" w:color="auto" w:fill="F8FAFC"/>
          </w:tcPr>
          <w:p w14:paraId="363B301E" w14:textId="77777777" w:rsidR="00434EFE" w:rsidRDefault="00000000">
            <w:pPr>
              <w:spacing w:before="40" w:after="40"/>
              <w:jc w:val="center"/>
            </w:pPr>
            <w:r>
              <w:rPr>
                <w:b/>
                <w:sz w:val="17"/>
              </w:rPr>
              <w:t>48</w:t>
            </w:r>
          </w:p>
        </w:tc>
        <w:tc>
          <w:tcPr>
            <w:tcW w:w="1728" w:type="dxa"/>
            <w:shd w:val="clear" w:color="auto" w:fill="F8FAFC"/>
          </w:tcPr>
          <w:p w14:paraId="17B1C6B8" w14:textId="77777777" w:rsidR="00434EFE" w:rsidRDefault="00000000">
            <w:pPr>
              <w:spacing w:before="40" w:after="40"/>
              <w:jc w:val="center"/>
            </w:pPr>
            <w:r>
              <w:rPr>
                <w:b/>
                <w:sz w:val="17"/>
              </w:rPr>
              <w:t>59</w:t>
            </w:r>
          </w:p>
        </w:tc>
        <w:tc>
          <w:tcPr>
            <w:tcW w:w="2880" w:type="dxa"/>
            <w:shd w:val="clear" w:color="auto" w:fill="F8FAFC"/>
          </w:tcPr>
          <w:p w14:paraId="1A212FD4" w14:textId="77777777" w:rsidR="00434EFE" w:rsidRDefault="00000000">
            <w:pPr>
              <w:spacing w:before="40" w:after="40"/>
              <w:jc w:val="center"/>
            </w:pPr>
            <w:r>
              <w:rPr>
                <w:b/>
                <w:sz w:val="17"/>
              </w:rPr>
              <w:t>100% Molecularly Confirmed</w:t>
            </w:r>
          </w:p>
        </w:tc>
      </w:tr>
    </w:tbl>
    <w:p w14:paraId="283459D2" w14:textId="77777777" w:rsidR="00434EFE" w:rsidRDefault="00434EFE"/>
    <w:p w14:paraId="7B668508" w14:textId="77777777" w:rsidR="00434EFE" w:rsidRDefault="00000000">
      <w:pPr>
        <w:keepNext/>
        <w:spacing w:before="240" w:after="80"/>
      </w:pPr>
      <w:r>
        <w:rPr>
          <w:b/>
          <w:color w:val="0D9488"/>
          <w:sz w:val="24"/>
        </w:rPr>
        <w:t>5.2 Phenotype Standardization and Vocabulary Construction</w:t>
      </w:r>
    </w:p>
    <w:p w14:paraId="270A8981" w14:textId="77777777" w:rsidR="00434EFE" w:rsidRDefault="00000000">
      <w:pPr>
        <w:jc w:val="both"/>
      </w:pPr>
      <w:r>
        <w:t>Clinical features were mapped to standardized HPO concepts using hp.obo (Release 2026-06-23). A total of 82 unique HPO terms appeared across the complete 385-patient dataset.</w:t>
      </w:r>
    </w:p>
    <w:p w14:paraId="5A49EE9B" w14:textId="77777777" w:rsidR="00434EFE" w:rsidRDefault="00000000">
      <w:pPr>
        <w:jc w:val="both"/>
      </w:pPr>
      <w:r>
        <w:t>To maintain evaluation integrity, the feature vocabulary was fitted strictly on the training partition (N = 230), yielding 78 training HPO terms. Four HPO terms occurring only in the held-out test set (HP:0002121, HP:0001156, HP:0001508, HP:0002126) were treated as out-of-vocabulary (OOV) features and masked during transformation. Zero OOV terms occurred in the validation set. Biological sex was one-hot encoded into three binary indicators (MALE, FEMALE, UNKNOWN_SEX), resulting in 81 total machine learning predictor dimensions.</w:t>
      </w:r>
    </w:p>
    <w:p w14:paraId="61539ADB" w14:textId="77777777" w:rsidR="00434EFE" w:rsidRDefault="00000000">
      <w:pPr>
        <w:keepNext/>
        <w:spacing w:before="240" w:after="80"/>
      </w:pPr>
      <w:r>
        <w:rPr>
          <w:b/>
          <w:color w:val="0D9488"/>
          <w:sz w:val="24"/>
        </w:rPr>
        <w:t>5.3 Leakage-Control Procedures and Data Partitioning</w:t>
      </w:r>
    </w:p>
    <w:p w14:paraId="5F68A8A3" w14:textId="77777777" w:rsidR="00434EFE" w:rsidRDefault="00000000">
      <w:pPr>
        <w:jc w:val="both"/>
      </w:pPr>
      <w:r>
        <w:t>A critical challenge in clinical machine learning is data leakage caused by identical phenotypic profiles appearing across training and test sets. In our cohort of 385 patients, 370 distinct phenotypic profiles were identified (15 patients shared identical symptom-and-sex combinations with another patient having the same condition).</w:t>
      </w:r>
    </w:p>
    <w:p w14:paraId="4D1A5054" w14:textId="77777777" w:rsidR="00434EFE" w:rsidRDefault="00000000">
      <w:pPr>
        <w:jc w:val="both"/>
      </w:pPr>
      <w:r>
        <w:t>Leakage-control procedures were implemented through patient-level separation, grouping of identical phenotypic profiles, and training-only feature vocabulary construction.</w:t>
      </w:r>
    </w:p>
    <w:p w14:paraId="05887B90" w14:textId="77777777" w:rsidR="00434EFE" w:rsidRDefault="00000000">
      <w:pPr>
        <w:jc w:val="both"/>
      </w:pPr>
      <w:r>
        <w:t>We applied a 60/20/20 stratified split: Training Set (N = 230 patients, 59.7%), Validation Set (N = 77 patients, 20.0%), and Held-Out Test Set (N = 78 patients, 20.3%). No patient ID and no phenotypic profile appears in more than one partition. However, patients from the same publication could appear across partitions; therefore, source-publication-grouped stress validation was also performed to evaluate publication-specific effects.</w:t>
      </w:r>
    </w:p>
    <w:p w14:paraId="5FF8FD01" w14:textId="77777777" w:rsidR="00434EFE" w:rsidRDefault="00000000">
      <w:pPr>
        <w:keepNext/>
        <w:spacing w:before="240" w:after="80"/>
      </w:pPr>
      <w:r>
        <w:rPr>
          <w:b/>
          <w:color w:val="0D9488"/>
          <w:sz w:val="24"/>
        </w:rPr>
        <w:t>5.4 Machine Learning Classification and Probability Calibration</w:t>
      </w:r>
    </w:p>
    <w:p w14:paraId="6E0F0A51" w14:textId="77777777" w:rsidR="00434EFE" w:rsidRDefault="00000000">
      <w:pPr>
        <w:jc w:val="both"/>
      </w:pPr>
      <w:r>
        <w:t>The primary predictive model is an ensemble Random Forest Classifier (100 decision trees, maximum tree depth of 10, balanced class weights, random seed 42).</w:t>
      </w:r>
    </w:p>
    <w:p w14:paraId="520BC866" w14:textId="77777777" w:rsidR="00434EFE" w:rsidRDefault="00000000">
      <w:pPr>
        <w:jc w:val="both"/>
      </w:pPr>
      <w:r>
        <w:t>Random Forest vote proportions provide probability-like scores that may not be well calibrated. To obtain calibrated probability estimates, the ensemble was calibrated using sigmoid (Platt) scaling through 5-fold internal cross-validation fitted strictly on the training partition (CalibratedClassifierCV).</w:t>
      </w:r>
    </w:p>
    <w:p w14:paraId="2913DE60" w14:textId="77777777" w:rsidR="00434EFE" w:rsidRDefault="00000000">
      <w:pPr>
        <w:jc w:val="both"/>
      </w:pPr>
      <w:r>
        <w:t>We also evaluated baseline models on the exact same splits: Standard Random Forest, Logistic Regression (L2 penalty), Support Vector Machine (RBF kernel, calibrated), Decision Tree, K-Nearest Neighbors (k=5), Gaussian Naive Bayes, and XGBoost.</w:t>
      </w:r>
    </w:p>
    <w:p w14:paraId="7A46E33C" w14:textId="77777777" w:rsidR="00434EFE" w:rsidRDefault="00000000">
      <w:pPr>
        <w:keepNext/>
        <w:spacing w:before="240" w:after="80"/>
      </w:pPr>
      <w:r>
        <w:rPr>
          <w:b/>
          <w:color w:val="0D9488"/>
          <w:sz w:val="24"/>
        </w:rPr>
        <w:lastRenderedPageBreak/>
        <w:t>5.5 Explainability with TreeSHAP</w:t>
      </w:r>
    </w:p>
    <w:p w14:paraId="0C887740" w14:textId="77777777" w:rsidR="00434EFE" w:rsidRDefault="00000000">
      <w:pPr>
        <w:jc w:val="both"/>
      </w:pPr>
      <w:r>
        <w:t>To explain model decision boundaries, we applied TreeSHAP (shap.TreeExplainer). SHAP values quantify the marginal contribution of each HPO feature toward the model's predicted probability for each syndrome.</w:t>
      </w:r>
    </w:p>
    <w:p w14:paraId="6A538EDD" w14:textId="77777777" w:rsidR="00434EFE" w:rsidRDefault="00000000">
      <w:pPr>
        <w:keepNext/>
        <w:spacing w:before="240" w:after="80"/>
      </w:pPr>
      <w:r>
        <w:rPr>
          <w:b/>
          <w:color w:val="0D9488"/>
          <w:sz w:val="24"/>
        </w:rPr>
        <w:t>5.6 Exploratory Upstream Optical Character Recognition (OCR)</w:t>
      </w:r>
    </w:p>
    <w:p w14:paraId="229CB277" w14:textId="77777777" w:rsidR="00434EFE" w:rsidRDefault="00000000">
      <w:pPr>
        <w:jc w:val="both"/>
      </w:pPr>
      <w:r>
        <w:t>To evaluate the feasibility of ingesting scanned medical records, an exploratory OCR pipeline was built using EasyOCR and fuzzy concept matching.</w:t>
      </w:r>
    </w:p>
    <w:p w14:paraId="70775492" w14:textId="77777777" w:rsidR="00434EFE" w:rsidRDefault="00000000">
      <w:pPr>
        <w:keepNext/>
        <w:spacing w:before="320"/>
      </w:pPr>
      <w:r>
        <w:rPr>
          <w:b/>
          <w:color w:val="1E3A8A"/>
          <w:sz w:val="28"/>
        </w:rPr>
        <w:t>6. Results</w:t>
      </w:r>
    </w:p>
    <w:p w14:paraId="2CF460F9" w14:textId="77777777" w:rsidR="00434EFE" w:rsidRDefault="00000000">
      <w:pPr>
        <w:jc w:val="both"/>
      </w:pPr>
      <w:r>
        <w:t>The audited cohort contains 385 patients with confirmed genetic diagnoses. Table 3 presents the demographic distribution and phenotypic characteristics across the three syndromes.</w:t>
      </w:r>
    </w:p>
    <w:p w14:paraId="3638F4B8" w14:textId="77777777" w:rsidR="00434EFE" w:rsidRDefault="00000000">
      <w:pPr>
        <w:keepNext/>
        <w:spacing w:before="200" w:after="80"/>
      </w:pPr>
      <w:r>
        <w:rPr>
          <w:b/>
          <w:color w:val="1E3A8A"/>
          <w:sz w:val="20"/>
        </w:rPr>
        <w:t>Table 3. Clinical Cohort and Demographic Characteristics</w:t>
      </w:r>
    </w:p>
    <w:tbl>
      <w:tblPr>
        <w:tblW w:w="0" w:type="auto"/>
        <w:jc w:val="center"/>
        <w:tblLook w:val="04A0" w:firstRow="1" w:lastRow="0" w:firstColumn="1" w:lastColumn="0" w:noHBand="0" w:noVBand="1"/>
      </w:tblPr>
      <w:tblGrid>
        <w:gridCol w:w="1623"/>
        <w:gridCol w:w="1084"/>
        <w:gridCol w:w="1079"/>
        <w:gridCol w:w="822"/>
        <w:gridCol w:w="896"/>
        <w:gridCol w:w="1135"/>
        <w:gridCol w:w="1288"/>
        <w:gridCol w:w="1649"/>
      </w:tblGrid>
      <w:tr w:rsidR="00434EFE" w14:paraId="4BAC1346" w14:textId="77777777">
        <w:trPr>
          <w:cantSplit/>
          <w:tblHeader/>
          <w:jc w:val="center"/>
        </w:trPr>
        <w:tc>
          <w:tcPr>
            <w:tcW w:w="2160" w:type="dxa"/>
            <w:shd w:val="clear" w:color="auto" w:fill="1E3A8A"/>
          </w:tcPr>
          <w:p w14:paraId="4210FC87" w14:textId="77777777" w:rsidR="00434EFE" w:rsidRDefault="00000000">
            <w:pPr>
              <w:spacing w:before="60" w:after="60"/>
              <w:jc w:val="center"/>
            </w:pPr>
            <w:r>
              <w:rPr>
                <w:b/>
                <w:color w:val="FFFFFF"/>
                <w:sz w:val="18"/>
              </w:rPr>
              <w:t>Syndrome</w:t>
            </w:r>
          </w:p>
        </w:tc>
        <w:tc>
          <w:tcPr>
            <w:tcW w:w="1296" w:type="dxa"/>
            <w:shd w:val="clear" w:color="auto" w:fill="1E3A8A"/>
          </w:tcPr>
          <w:p w14:paraId="20B49E09" w14:textId="77777777" w:rsidR="00434EFE" w:rsidRDefault="00000000">
            <w:pPr>
              <w:spacing w:before="60" w:after="60"/>
              <w:jc w:val="center"/>
            </w:pPr>
            <w:r>
              <w:rPr>
                <w:b/>
                <w:color w:val="FFFFFF"/>
                <w:sz w:val="18"/>
              </w:rPr>
              <w:t>Patients (N)</w:t>
            </w:r>
          </w:p>
        </w:tc>
        <w:tc>
          <w:tcPr>
            <w:tcW w:w="1296" w:type="dxa"/>
            <w:shd w:val="clear" w:color="auto" w:fill="1E3A8A"/>
          </w:tcPr>
          <w:p w14:paraId="4C1F94B0" w14:textId="77777777" w:rsidR="00434EFE" w:rsidRDefault="00000000">
            <w:pPr>
              <w:spacing w:before="60" w:after="60"/>
              <w:jc w:val="center"/>
            </w:pPr>
            <w:r>
              <w:rPr>
                <w:b/>
                <w:color w:val="FFFFFF"/>
                <w:sz w:val="18"/>
              </w:rPr>
              <w:t>Cohort Share (%)</w:t>
            </w:r>
          </w:p>
        </w:tc>
        <w:tc>
          <w:tcPr>
            <w:tcW w:w="1008" w:type="dxa"/>
            <w:shd w:val="clear" w:color="auto" w:fill="1E3A8A"/>
          </w:tcPr>
          <w:p w14:paraId="72980079" w14:textId="77777777" w:rsidR="00434EFE" w:rsidRDefault="00000000">
            <w:pPr>
              <w:spacing w:before="60" w:after="60"/>
              <w:jc w:val="center"/>
            </w:pPr>
            <w:r>
              <w:rPr>
                <w:b/>
                <w:color w:val="FFFFFF"/>
                <w:sz w:val="18"/>
              </w:rPr>
              <w:t>Male (n)</w:t>
            </w:r>
          </w:p>
        </w:tc>
        <w:tc>
          <w:tcPr>
            <w:tcW w:w="1008" w:type="dxa"/>
            <w:shd w:val="clear" w:color="auto" w:fill="1E3A8A"/>
          </w:tcPr>
          <w:p w14:paraId="4C57084F" w14:textId="77777777" w:rsidR="00434EFE" w:rsidRDefault="00000000">
            <w:pPr>
              <w:spacing w:before="60" w:after="60"/>
              <w:jc w:val="center"/>
            </w:pPr>
            <w:r>
              <w:rPr>
                <w:b/>
                <w:color w:val="FFFFFF"/>
                <w:sz w:val="18"/>
              </w:rPr>
              <w:t>Female (n)</w:t>
            </w:r>
          </w:p>
        </w:tc>
        <w:tc>
          <w:tcPr>
            <w:tcW w:w="1296" w:type="dxa"/>
            <w:shd w:val="clear" w:color="auto" w:fill="1E3A8A"/>
          </w:tcPr>
          <w:p w14:paraId="41E69D55" w14:textId="77777777" w:rsidR="00434EFE" w:rsidRDefault="00000000">
            <w:pPr>
              <w:spacing w:before="60" w:after="60"/>
              <w:jc w:val="center"/>
            </w:pPr>
            <w:r>
              <w:rPr>
                <w:b/>
                <w:color w:val="FFFFFF"/>
                <w:sz w:val="18"/>
              </w:rPr>
              <w:t>Unknown Sex (n)</w:t>
            </w:r>
          </w:p>
        </w:tc>
        <w:tc>
          <w:tcPr>
            <w:tcW w:w="1728" w:type="dxa"/>
            <w:shd w:val="clear" w:color="auto" w:fill="1E3A8A"/>
          </w:tcPr>
          <w:p w14:paraId="472EAF87" w14:textId="77777777" w:rsidR="00434EFE" w:rsidRDefault="00000000">
            <w:pPr>
              <w:spacing w:before="60" w:after="60"/>
              <w:jc w:val="center"/>
            </w:pPr>
            <w:r>
              <w:rPr>
                <w:b/>
                <w:color w:val="FFFFFF"/>
                <w:sz w:val="18"/>
              </w:rPr>
              <w:t>Mean HPO Terms / Patient</w:t>
            </w:r>
          </w:p>
        </w:tc>
        <w:tc>
          <w:tcPr>
            <w:tcW w:w="2016" w:type="dxa"/>
            <w:shd w:val="clear" w:color="auto" w:fill="1E3A8A"/>
          </w:tcPr>
          <w:p w14:paraId="6510AC3A" w14:textId="77777777" w:rsidR="00434EFE" w:rsidRDefault="00000000">
            <w:pPr>
              <w:spacing w:before="60" w:after="60"/>
              <w:jc w:val="center"/>
            </w:pPr>
            <w:r>
              <w:rPr>
                <w:b/>
                <w:color w:val="FFFFFF"/>
                <w:sz w:val="18"/>
              </w:rPr>
              <w:t>Molecular Confirmation Status</w:t>
            </w:r>
          </w:p>
        </w:tc>
      </w:tr>
      <w:tr w:rsidR="00434EFE" w14:paraId="3DA8B6C2" w14:textId="77777777">
        <w:trPr>
          <w:cantSplit/>
          <w:jc w:val="center"/>
        </w:trPr>
        <w:tc>
          <w:tcPr>
            <w:tcW w:w="2160" w:type="dxa"/>
            <w:shd w:val="clear" w:color="auto" w:fill="FFFFFF"/>
          </w:tcPr>
          <w:p w14:paraId="236C34FB" w14:textId="77777777" w:rsidR="00434EFE" w:rsidRDefault="00000000">
            <w:pPr>
              <w:spacing w:before="40" w:after="40"/>
            </w:pPr>
            <w:r>
              <w:rPr>
                <w:sz w:val="17"/>
              </w:rPr>
              <w:t>KBG Syndrome</w:t>
            </w:r>
          </w:p>
        </w:tc>
        <w:tc>
          <w:tcPr>
            <w:tcW w:w="1296" w:type="dxa"/>
            <w:shd w:val="clear" w:color="auto" w:fill="FFFFFF"/>
          </w:tcPr>
          <w:p w14:paraId="09393EC7" w14:textId="77777777" w:rsidR="00434EFE" w:rsidRDefault="00000000">
            <w:pPr>
              <w:spacing w:before="40" w:after="40"/>
              <w:jc w:val="center"/>
            </w:pPr>
            <w:r>
              <w:rPr>
                <w:sz w:val="17"/>
              </w:rPr>
              <w:t>298</w:t>
            </w:r>
          </w:p>
        </w:tc>
        <w:tc>
          <w:tcPr>
            <w:tcW w:w="1296" w:type="dxa"/>
            <w:shd w:val="clear" w:color="auto" w:fill="FFFFFF"/>
          </w:tcPr>
          <w:p w14:paraId="742A179B" w14:textId="77777777" w:rsidR="00434EFE" w:rsidRDefault="00000000">
            <w:pPr>
              <w:spacing w:before="40" w:after="40"/>
              <w:jc w:val="center"/>
            </w:pPr>
            <w:r>
              <w:rPr>
                <w:sz w:val="17"/>
              </w:rPr>
              <w:t>77.40%</w:t>
            </w:r>
          </w:p>
        </w:tc>
        <w:tc>
          <w:tcPr>
            <w:tcW w:w="1008" w:type="dxa"/>
            <w:shd w:val="clear" w:color="auto" w:fill="FFFFFF"/>
          </w:tcPr>
          <w:p w14:paraId="0DD881CF" w14:textId="77777777" w:rsidR="00434EFE" w:rsidRDefault="00000000">
            <w:pPr>
              <w:spacing w:before="40" w:after="40"/>
              <w:jc w:val="center"/>
            </w:pPr>
            <w:r>
              <w:rPr>
                <w:sz w:val="17"/>
              </w:rPr>
              <w:t>158</w:t>
            </w:r>
          </w:p>
        </w:tc>
        <w:tc>
          <w:tcPr>
            <w:tcW w:w="1008" w:type="dxa"/>
            <w:shd w:val="clear" w:color="auto" w:fill="FFFFFF"/>
          </w:tcPr>
          <w:p w14:paraId="45F89646" w14:textId="77777777" w:rsidR="00434EFE" w:rsidRDefault="00000000">
            <w:pPr>
              <w:spacing w:before="40" w:after="40"/>
              <w:jc w:val="center"/>
            </w:pPr>
            <w:r>
              <w:rPr>
                <w:sz w:val="17"/>
              </w:rPr>
              <w:t>129</w:t>
            </w:r>
          </w:p>
        </w:tc>
        <w:tc>
          <w:tcPr>
            <w:tcW w:w="1296" w:type="dxa"/>
            <w:shd w:val="clear" w:color="auto" w:fill="FFFFFF"/>
          </w:tcPr>
          <w:p w14:paraId="6CA9DE7C" w14:textId="77777777" w:rsidR="00434EFE" w:rsidRDefault="00000000">
            <w:pPr>
              <w:spacing w:before="40" w:after="40"/>
              <w:jc w:val="center"/>
            </w:pPr>
            <w:r>
              <w:rPr>
                <w:sz w:val="17"/>
              </w:rPr>
              <w:t>11</w:t>
            </w:r>
          </w:p>
        </w:tc>
        <w:tc>
          <w:tcPr>
            <w:tcW w:w="1728" w:type="dxa"/>
            <w:shd w:val="clear" w:color="auto" w:fill="FFFFFF"/>
          </w:tcPr>
          <w:p w14:paraId="4BC919D5" w14:textId="77777777" w:rsidR="00434EFE" w:rsidRDefault="00000000">
            <w:pPr>
              <w:spacing w:before="40" w:after="40"/>
              <w:jc w:val="center"/>
            </w:pPr>
            <w:r>
              <w:rPr>
                <w:sz w:val="17"/>
              </w:rPr>
              <w:t>14.12 ± 3.85</w:t>
            </w:r>
          </w:p>
        </w:tc>
        <w:tc>
          <w:tcPr>
            <w:tcW w:w="2016" w:type="dxa"/>
            <w:shd w:val="clear" w:color="auto" w:fill="FFFFFF"/>
          </w:tcPr>
          <w:p w14:paraId="7CF0D1AC" w14:textId="77777777" w:rsidR="00434EFE" w:rsidRDefault="00000000">
            <w:pPr>
              <w:spacing w:before="40" w:after="40"/>
              <w:jc w:val="center"/>
            </w:pPr>
            <w:r>
              <w:rPr>
                <w:sz w:val="17"/>
              </w:rPr>
              <w:t>100% ANKRD11 confirmed</w:t>
            </w:r>
          </w:p>
        </w:tc>
      </w:tr>
      <w:tr w:rsidR="00434EFE" w14:paraId="2758AB02" w14:textId="77777777">
        <w:trPr>
          <w:cantSplit/>
          <w:jc w:val="center"/>
        </w:trPr>
        <w:tc>
          <w:tcPr>
            <w:tcW w:w="2160" w:type="dxa"/>
            <w:shd w:val="clear" w:color="auto" w:fill="F8FAFC"/>
          </w:tcPr>
          <w:p w14:paraId="0C78134F" w14:textId="77777777" w:rsidR="00434EFE" w:rsidRDefault="00000000">
            <w:pPr>
              <w:spacing w:before="40" w:after="40"/>
            </w:pPr>
            <w:r>
              <w:rPr>
                <w:sz w:val="17"/>
              </w:rPr>
              <w:t>White-Sutton Syndrome</w:t>
            </w:r>
          </w:p>
        </w:tc>
        <w:tc>
          <w:tcPr>
            <w:tcW w:w="1296" w:type="dxa"/>
            <w:shd w:val="clear" w:color="auto" w:fill="F8FAFC"/>
          </w:tcPr>
          <w:p w14:paraId="75898793" w14:textId="77777777" w:rsidR="00434EFE" w:rsidRDefault="00000000">
            <w:pPr>
              <w:spacing w:before="40" w:after="40"/>
              <w:jc w:val="center"/>
            </w:pPr>
            <w:r>
              <w:rPr>
                <w:sz w:val="17"/>
              </w:rPr>
              <w:t>45</w:t>
            </w:r>
          </w:p>
        </w:tc>
        <w:tc>
          <w:tcPr>
            <w:tcW w:w="1296" w:type="dxa"/>
            <w:shd w:val="clear" w:color="auto" w:fill="F8FAFC"/>
          </w:tcPr>
          <w:p w14:paraId="3823165A" w14:textId="77777777" w:rsidR="00434EFE" w:rsidRDefault="00000000">
            <w:pPr>
              <w:spacing w:before="40" w:after="40"/>
              <w:jc w:val="center"/>
            </w:pPr>
            <w:r>
              <w:rPr>
                <w:sz w:val="17"/>
              </w:rPr>
              <w:t>11.69%</w:t>
            </w:r>
          </w:p>
        </w:tc>
        <w:tc>
          <w:tcPr>
            <w:tcW w:w="1008" w:type="dxa"/>
            <w:shd w:val="clear" w:color="auto" w:fill="F8FAFC"/>
          </w:tcPr>
          <w:p w14:paraId="351D4F97" w14:textId="77777777" w:rsidR="00434EFE" w:rsidRDefault="00000000">
            <w:pPr>
              <w:spacing w:before="40" w:after="40"/>
              <w:jc w:val="center"/>
            </w:pPr>
            <w:r>
              <w:rPr>
                <w:sz w:val="17"/>
              </w:rPr>
              <w:t>24</w:t>
            </w:r>
          </w:p>
        </w:tc>
        <w:tc>
          <w:tcPr>
            <w:tcW w:w="1008" w:type="dxa"/>
            <w:shd w:val="clear" w:color="auto" w:fill="F8FAFC"/>
          </w:tcPr>
          <w:p w14:paraId="408325FA" w14:textId="77777777" w:rsidR="00434EFE" w:rsidRDefault="00000000">
            <w:pPr>
              <w:spacing w:before="40" w:after="40"/>
              <w:jc w:val="center"/>
            </w:pPr>
            <w:r>
              <w:rPr>
                <w:sz w:val="17"/>
              </w:rPr>
              <w:t>18</w:t>
            </w:r>
          </w:p>
        </w:tc>
        <w:tc>
          <w:tcPr>
            <w:tcW w:w="1296" w:type="dxa"/>
            <w:shd w:val="clear" w:color="auto" w:fill="F8FAFC"/>
          </w:tcPr>
          <w:p w14:paraId="0254C4A9" w14:textId="77777777" w:rsidR="00434EFE" w:rsidRDefault="00000000">
            <w:pPr>
              <w:spacing w:before="40" w:after="40"/>
              <w:jc w:val="center"/>
            </w:pPr>
            <w:r>
              <w:rPr>
                <w:sz w:val="17"/>
              </w:rPr>
              <w:t>3</w:t>
            </w:r>
          </w:p>
        </w:tc>
        <w:tc>
          <w:tcPr>
            <w:tcW w:w="1728" w:type="dxa"/>
            <w:shd w:val="clear" w:color="auto" w:fill="F8FAFC"/>
          </w:tcPr>
          <w:p w14:paraId="09093CE6" w14:textId="77777777" w:rsidR="00434EFE" w:rsidRDefault="00000000">
            <w:pPr>
              <w:spacing w:before="40" w:after="40"/>
              <w:jc w:val="center"/>
            </w:pPr>
            <w:r>
              <w:rPr>
                <w:sz w:val="17"/>
              </w:rPr>
              <w:t>15.24 ± 4.10</w:t>
            </w:r>
          </w:p>
        </w:tc>
        <w:tc>
          <w:tcPr>
            <w:tcW w:w="2016" w:type="dxa"/>
            <w:shd w:val="clear" w:color="auto" w:fill="F8FAFC"/>
          </w:tcPr>
          <w:p w14:paraId="4271EB32" w14:textId="77777777" w:rsidR="00434EFE" w:rsidRDefault="00000000">
            <w:pPr>
              <w:spacing w:before="40" w:after="40"/>
              <w:jc w:val="center"/>
            </w:pPr>
            <w:r>
              <w:rPr>
                <w:sz w:val="17"/>
              </w:rPr>
              <w:t>100% POGZ confirmed</w:t>
            </w:r>
          </w:p>
        </w:tc>
      </w:tr>
      <w:tr w:rsidR="00434EFE" w14:paraId="277DCCC6" w14:textId="77777777">
        <w:trPr>
          <w:cantSplit/>
          <w:jc w:val="center"/>
        </w:trPr>
        <w:tc>
          <w:tcPr>
            <w:tcW w:w="2160" w:type="dxa"/>
            <w:shd w:val="clear" w:color="auto" w:fill="FFFFFF"/>
          </w:tcPr>
          <w:p w14:paraId="0FA52BB8" w14:textId="77777777" w:rsidR="00434EFE" w:rsidRDefault="00000000">
            <w:pPr>
              <w:spacing w:before="40" w:after="40"/>
            </w:pPr>
            <w:r>
              <w:rPr>
                <w:sz w:val="17"/>
              </w:rPr>
              <w:t>Xia-Gibbs Syndrome</w:t>
            </w:r>
          </w:p>
        </w:tc>
        <w:tc>
          <w:tcPr>
            <w:tcW w:w="1296" w:type="dxa"/>
            <w:shd w:val="clear" w:color="auto" w:fill="FFFFFF"/>
          </w:tcPr>
          <w:p w14:paraId="4E8AE9F7" w14:textId="77777777" w:rsidR="00434EFE" w:rsidRDefault="00000000">
            <w:pPr>
              <w:spacing w:before="40" w:after="40"/>
              <w:jc w:val="center"/>
            </w:pPr>
            <w:r>
              <w:rPr>
                <w:sz w:val="17"/>
              </w:rPr>
              <w:t>42</w:t>
            </w:r>
          </w:p>
        </w:tc>
        <w:tc>
          <w:tcPr>
            <w:tcW w:w="1296" w:type="dxa"/>
            <w:shd w:val="clear" w:color="auto" w:fill="FFFFFF"/>
          </w:tcPr>
          <w:p w14:paraId="423E8471" w14:textId="77777777" w:rsidR="00434EFE" w:rsidRDefault="00000000">
            <w:pPr>
              <w:spacing w:before="40" w:after="40"/>
              <w:jc w:val="center"/>
            </w:pPr>
            <w:r>
              <w:rPr>
                <w:sz w:val="17"/>
              </w:rPr>
              <w:t>10.91%</w:t>
            </w:r>
          </w:p>
        </w:tc>
        <w:tc>
          <w:tcPr>
            <w:tcW w:w="1008" w:type="dxa"/>
            <w:shd w:val="clear" w:color="auto" w:fill="FFFFFF"/>
          </w:tcPr>
          <w:p w14:paraId="736BC97A" w14:textId="77777777" w:rsidR="00434EFE" w:rsidRDefault="00000000">
            <w:pPr>
              <w:spacing w:before="40" w:after="40"/>
              <w:jc w:val="center"/>
            </w:pPr>
            <w:r>
              <w:rPr>
                <w:sz w:val="17"/>
              </w:rPr>
              <w:t>21</w:t>
            </w:r>
          </w:p>
        </w:tc>
        <w:tc>
          <w:tcPr>
            <w:tcW w:w="1008" w:type="dxa"/>
            <w:shd w:val="clear" w:color="auto" w:fill="FFFFFF"/>
          </w:tcPr>
          <w:p w14:paraId="091D32C7" w14:textId="77777777" w:rsidR="00434EFE" w:rsidRDefault="00000000">
            <w:pPr>
              <w:spacing w:before="40" w:after="40"/>
              <w:jc w:val="center"/>
            </w:pPr>
            <w:r>
              <w:rPr>
                <w:sz w:val="17"/>
              </w:rPr>
              <w:t>18</w:t>
            </w:r>
          </w:p>
        </w:tc>
        <w:tc>
          <w:tcPr>
            <w:tcW w:w="1296" w:type="dxa"/>
            <w:shd w:val="clear" w:color="auto" w:fill="FFFFFF"/>
          </w:tcPr>
          <w:p w14:paraId="4031ADAC" w14:textId="77777777" w:rsidR="00434EFE" w:rsidRDefault="00000000">
            <w:pPr>
              <w:spacing w:before="40" w:after="40"/>
              <w:jc w:val="center"/>
            </w:pPr>
            <w:r>
              <w:rPr>
                <w:sz w:val="17"/>
              </w:rPr>
              <w:t>3</w:t>
            </w:r>
          </w:p>
        </w:tc>
        <w:tc>
          <w:tcPr>
            <w:tcW w:w="1728" w:type="dxa"/>
            <w:shd w:val="clear" w:color="auto" w:fill="FFFFFF"/>
          </w:tcPr>
          <w:p w14:paraId="4CE06DDC" w14:textId="77777777" w:rsidR="00434EFE" w:rsidRDefault="00000000">
            <w:pPr>
              <w:spacing w:before="40" w:after="40"/>
              <w:jc w:val="center"/>
            </w:pPr>
            <w:r>
              <w:rPr>
                <w:sz w:val="17"/>
              </w:rPr>
              <w:t>14.88 ± 4.42</w:t>
            </w:r>
          </w:p>
        </w:tc>
        <w:tc>
          <w:tcPr>
            <w:tcW w:w="2016" w:type="dxa"/>
            <w:shd w:val="clear" w:color="auto" w:fill="FFFFFF"/>
          </w:tcPr>
          <w:p w14:paraId="58E36A9C" w14:textId="77777777" w:rsidR="00434EFE" w:rsidRDefault="00000000">
            <w:pPr>
              <w:spacing w:before="40" w:after="40"/>
              <w:jc w:val="center"/>
            </w:pPr>
            <w:r>
              <w:rPr>
                <w:sz w:val="17"/>
              </w:rPr>
              <w:t>100% AHDC1 confirmed</w:t>
            </w:r>
          </w:p>
        </w:tc>
      </w:tr>
      <w:tr w:rsidR="00434EFE" w14:paraId="2AA27BCE" w14:textId="77777777">
        <w:trPr>
          <w:cantSplit/>
          <w:jc w:val="center"/>
        </w:trPr>
        <w:tc>
          <w:tcPr>
            <w:tcW w:w="2160" w:type="dxa"/>
            <w:shd w:val="clear" w:color="auto" w:fill="F8FAFC"/>
          </w:tcPr>
          <w:p w14:paraId="20258333" w14:textId="77777777" w:rsidR="00434EFE" w:rsidRDefault="00000000">
            <w:pPr>
              <w:spacing w:before="40" w:after="40"/>
            </w:pPr>
            <w:r>
              <w:rPr>
                <w:b/>
                <w:sz w:val="17"/>
              </w:rPr>
              <w:t>Total Evaluated Cohort</w:t>
            </w:r>
          </w:p>
        </w:tc>
        <w:tc>
          <w:tcPr>
            <w:tcW w:w="1296" w:type="dxa"/>
            <w:shd w:val="clear" w:color="auto" w:fill="F8FAFC"/>
          </w:tcPr>
          <w:p w14:paraId="5A270900" w14:textId="77777777" w:rsidR="00434EFE" w:rsidRDefault="00000000">
            <w:pPr>
              <w:spacing w:before="40" w:after="40"/>
              <w:jc w:val="center"/>
            </w:pPr>
            <w:r>
              <w:rPr>
                <w:b/>
                <w:sz w:val="17"/>
              </w:rPr>
              <w:t>385</w:t>
            </w:r>
          </w:p>
        </w:tc>
        <w:tc>
          <w:tcPr>
            <w:tcW w:w="1296" w:type="dxa"/>
            <w:shd w:val="clear" w:color="auto" w:fill="F8FAFC"/>
          </w:tcPr>
          <w:p w14:paraId="26913E29" w14:textId="77777777" w:rsidR="00434EFE" w:rsidRDefault="00000000">
            <w:pPr>
              <w:spacing w:before="40" w:after="40"/>
              <w:jc w:val="center"/>
            </w:pPr>
            <w:r>
              <w:rPr>
                <w:b/>
                <w:sz w:val="17"/>
              </w:rPr>
              <w:t>100.00%</w:t>
            </w:r>
          </w:p>
        </w:tc>
        <w:tc>
          <w:tcPr>
            <w:tcW w:w="1008" w:type="dxa"/>
            <w:shd w:val="clear" w:color="auto" w:fill="F8FAFC"/>
          </w:tcPr>
          <w:p w14:paraId="2D0A79B8" w14:textId="77777777" w:rsidR="00434EFE" w:rsidRDefault="00000000">
            <w:pPr>
              <w:spacing w:before="40" w:after="40"/>
              <w:jc w:val="center"/>
            </w:pPr>
            <w:r>
              <w:rPr>
                <w:b/>
                <w:sz w:val="17"/>
              </w:rPr>
              <w:t>203</w:t>
            </w:r>
          </w:p>
        </w:tc>
        <w:tc>
          <w:tcPr>
            <w:tcW w:w="1008" w:type="dxa"/>
            <w:shd w:val="clear" w:color="auto" w:fill="F8FAFC"/>
          </w:tcPr>
          <w:p w14:paraId="05EC64FC" w14:textId="77777777" w:rsidR="00434EFE" w:rsidRDefault="00000000">
            <w:pPr>
              <w:spacing w:before="40" w:after="40"/>
              <w:jc w:val="center"/>
            </w:pPr>
            <w:r>
              <w:rPr>
                <w:b/>
                <w:sz w:val="17"/>
              </w:rPr>
              <w:t>165</w:t>
            </w:r>
          </w:p>
        </w:tc>
        <w:tc>
          <w:tcPr>
            <w:tcW w:w="1296" w:type="dxa"/>
            <w:shd w:val="clear" w:color="auto" w:fill="F8FAFC"/>
          </w:tcPr>
          <w:p w14:paraId="58EAC28E" w14:textId="77777777" w:rsidR="00434EFE" w:rsidRDefault="00000000">
            <w:pPr>
              <w:spacing w:before="40" w:after="40"/>
              <w:jc w:val="center"/>
            </w:pPr>
            <w:r>
              <w:rPr>
                <w:b/>
                <w:sz w:val="17"/>
              </w:rPr>
              <w:t>17</w:t>
            </w:r>
          </w:p>
        </w:tc>
        <w:tc>
          <w:tcPr>
            <w:tcW w:w="1728" w:type="dxa"/>
            <w:shd w:val="clear" w:color="auto" w:fill="F8FAFC"/>
          </w:tcPr>
          <w:p w14:paraId="4136A577" w14:textId="77777777" w:rsidR="00434EFE" w:rsidRDefault="00000000">
            <w:pPr>
              <w:spacing w:before="40" w:after="40"/>
              <w:jc w:val="center"/>
            </w:pPr>
            <w:r>
              <w:rPr>
                <w:b/>
                <w:sz w:val="17"/>
              </w:rPr>
              <w:t>14.36 ± 4.12</w:t>
            </w:r>
          </w:p>
        </w:tc>
        <w:tc>
          <w:tcPr>
            <w:tcW w:w="2016" w:type="dxa"/>
            <w:shd w:val="clear" w:color="auto" w:fill="F8FAFC"/>
          </w:tcPr>
          <w:p w14:paraId="6876A4F0" w14:textId="77777777" w:rsidR="00434EFE" w:rsidRDefault="00000000">
            <w:pPr>
              <w:spacing w:before="40" w:after="40"/>
              <w:jc w:val="center"/>
            </w:pPr>
            <w:r>
              <w:rPr>
                <w:b/>
                <w:sz w:val="17"/>
              </w:rPr>
              <w:t>100% Confirmed Pathogenic</w:t>
            </w:r>
          </w:p>
        </w:tc>
      </w:tr>
    </w:tbl>
    <w:p w14:paraId="367467E7" w14:textId="77777777" w:rsidR="00434EFE" w:rsidRDefault="00434EFE"/>
    <w:p w14:paraId="2AC2C922" w14:textId="77777777" w:rsidR="00434EFE" w:rsidRDefault="00000000">
      <w:pPr>
        <w:keepNext/>
        <w:spacing w:before="160" w:after="80"/>
        <w:jc w:val="center"/>
      </w:pPr>
      <w:r>
        <w:rPr>
          <w:noProof/>
        </w:rPr>
        <w:lastRenderedPageBreak/>
        <w:drawing>
          <wp:inline distT="0" distB="0" distL="0" distR="0" wp14:anchorId="676A03B8" wp14:editId="691D901E">
            <wp:extent cx="5029200" cy="3127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ohort_distribution.png"/>
                    <pic:cNvPicPr/>
                  </pic:nvPicPr>
                  <pic:blipFill>
                    <a:blip r:embed="rId9"/>
                    <a:stretch>
                      <a:fillRect/>
                    </a:stretch>
                  </pic:blipFill>
                  <pic:spPr>
                    <a:xfrm>
                      <a:off x="0" y="0"/>
                      <a:ext cx="5029200" cy="3127032"/>
                    </a:xfrm>
                    <a:prstGeom prst="rect">
                      <a:avLst/>
                    </a:prstGeom>
                  </pic:spPr>
                </pic:pic>
              </a:graphicData>
            </a:graphic>
          </wp:inline>
        </w:drawing>
      </w:r>
    </w:p>
    <w:p w14:paraId="0DAAEA62" w14:textId="77777777" w:rsidR="00434EFE" w:rsidRDefault="00000000">
      <w:pPr>
        <w:spacing w:after="240"/>
        <w:jc w:val="center"/>
      </w:pPr>
      <w:r>
        <w:rPr>
          <w:i/>
          <w:color w:val="475569"/>
          <w:sz w:val="19"/>
        </w:rPr>
        <w:t>Figure 4. Cohort distribution of the RareDXAI dataset. The literature-derived cohort contains 385 patients: 298 KBG syndrome cases (77.40%), 45 White-Sutton syndrome cases (11.69%), and 42 Xia-Gibbs syndrome cases (10.91%).</w:t>
      </w:r>
    </w:p>
    <w:p w14:paraId="70EE5A96" w14:textId="77777777" w:rsidR="00434EFE" w:rsidRDefault="00000000">
      <w:pPr>
        <w:keepNext/>
        <w:spacing w:before="240" w:after="80"/>
      </w:pPr>
      <w:r>
        <w:rPr>
          <w:b/>
          <w:color w:val="0D9488"/>
          <w:sz w:val="24"/>
        </w:rPr>
        <w:t>6.1 Held-Out Test Set Classification Performance</w:t>
      </w:r>
    </w:p>
    <w:p w14:paraId="0316140C" w14:textId="77777777" w:rsidR="00434EFE" w:rsidRDefault="00000000">
      <w:pPr>
        <w:jc w:val="both"/>
      </w:pPr>
      <w:r>
        <w:t>On the held-out test set (N = 78), the Calibrated Random Forest correctly classified 77 out of 78 patients, corresponding to a held-out classification accuracy of 98.72% (Wilson 95% CI: 93.09%–99.77%).</w:t>
      </w:r>
    </w:p>
    <w:p w14:paraId="010BC50A" w14:textId="77777777" w:rsidR="00434EFE" w:rsidRDefault="00000000">
      <w:pPr>
        <w:keepNext/>
        <w:spacing w:before="200" w:after="80"/>
      </w:pPr>
      <w:r>
        <w:rPr>
          <w:b/>
          <w:color w:val="1E3A8A"/>
          <w:sz w:val="20"/>
        </w:rPr>
        <w:t>Table 4. Machine Learning Model Performance on Held-Out Test Set (N = 78)</w:t>
      </w:r>
    </w:p>
    <w:tbl>
      <w:tblPr>
        <w:tblW w:w="0" w:type="auto"/>
        <w:jc w:val="center"/>
        <w:tblLook w:val="04A0" w:firstRow="1" w:lastRow="0" w:firstColumn="1" w:lastColumn="0" w:noHBand="0" w:noVBand="1"/>
      </w:tblPr>
      <w:tblGrid>
        <w:gridCol w:w="1865"/>
        <w:gridCol w:w="1304"/>
        <w:gridCol w:w="1024"/>
        <w:gridCol w:w="952"/>
        <w:gridCol w:w="853"/>
        <w:gridCol w:w="992"/>
        <w:gridCol w:w="853"/>
        <w:gridCol w:w="884"/>
        <w:gridCol w:w="849"/>
      </w:tblGrid>
      <w:tr w:rsidR="00434EFE" w14:paraId="652614E4" w14:textId="77777777">
        <w:trPr>
          <w:cantSplit/>
          <w:tblHeader/>
          <w:jc w:val="center"/>
        </w:trPr>
        <w:tc>
          <w:tcPr>
            <w:tcW w:w="2592" w:type="dxa"/>
            <w:shd w:val="clear" w:color="auto" w:fill="1E3A8A"/>
          </w:tcPr>
          <w:p w14:paraId="3B92B859" w14:textId="77777777" w:rsidR="00434EFE" w:rsidRDefault="00000000">
            <w:pPr>
              <w:spacing w:before="60" w:after="60"/>
              <w:jc w:val="center"/>
            </w:pPr>
            <w:r>
              <w:rPr>
                <w:b/>
                <w:color w:val="FFFFFF"/>
                <w:sz w:val="18"/>
              </w:rPr>
              <w:t>Model Architecture</w:t>
            </w:r>
          </w:p>
        </w:tc>
        <w:tc>
          <w:tcPr>
            <w:tcW w:w="1728" w:type="dxa"/>
            <w:shd w:val="clear" w:color="auto" w:fill="1E3A8A"/>
          </w:tcPr>
          <w:p w14:paraId="06B70326" w14:textId="77777777" w:rsidR="00434EFE" w:rsidRDefault="00000000">
            <w:pPr>
              <w:spacing w:before="60" w:after="60"/>
              <w:jc w:val="center"/>
            </w:pPr>
            <w:r>
              <w:rPr>
                <w:b/>
                <w:color w:val="FFFFFF"/>
                <w:sz w:val="18"/>
              </w:rPr>
              <w:t>Test Accuracy [Wilson 95% CI]</w:t>
            </w:r>
          </w:p>
        </w:tc>
        <w:tc>
          <w:tcPr>
            <w:tcW w:w="1152" w:type="dxa"/>
            <w:shd w:val="clear" w:color="auto" w:fill="1E3A8A"/>
          </w:tcPr>
          <w:p w14:paraId="360080DA" w14:textId="77777777" w:rsidR="00434EFE" w:rsidRDefault="00000000">
            <w:pPr>
              <w:spacing w:before="60" w:after="60"/>
              <w:jc w:val="center"/>
            </w:pPr>
            <w:r>
              <w:rPr>
                <w:b/>
                <w:color w:val="FFFFFF"/>
                <w:sz w:val="18"/>
              </w:rPr>
              <w:t>Balanced Accuracy</w:t>
            </w:r>
          </w:p>
        </w:tc>
        <w:tc>
          <w:tcPr>
            <w:tcW w:w="1008" w:type="dxa"/>
            <w:shd w:val="clear" w:color="auto" w:fill="1E3A8A"/>
          </w:tcPr>
          <w:p w14:paraId="4C5BFFF0" w14:textId="77777777" w:rsidR="00434EFE" w:rsidRDefault="00000000">
            <w:pPr>
              <w:spacing w:before="60" w:after="60"/>
              <w:jc w:val="center"/>
            </w:pPr>
            <w:r>
              <w:rPr>
                <w:b/>
                <w:color w:val="FFFFFF"/>
                <w:sz w:val="18"/>
              </w:rPr>
              <w:t>Macro Precision</w:t>
            </w:r>
          </w:p>
        </w:tc>
        <w:tc>
          <w:tcPr>
            <w:tcW w:w="1008" w:type="dxa"/>
            <w:shd w:val="clear" w:color="auto" w:fill="1E3A8A"/>
          </w:tcPr>
          <w:p w14:paraId="007684BD" w14:textId="77777777" w:rsidR="00434EFE" w:rsidRDefault="00000000">
            <w:pPr>
              <w:spacing w:before="60" w:after="60"/>
              <w:jc w:val="center"/>
            </w:pPr>
            <w:r>
              <w:rPr>
                <w:b/>
                <w:color w:val="FFFFFF"/>
                <w:sz w:val="18"/>
              </w:rPr>
              <w:t>Macro Recall</w:t>
            </w:r>
          </w:p>
        </w:tc>
        <w:tc>
          <w:tcPr>
            <w:tcW w:w="1008" w:type="dxa"/>
            <w:shd w:val="clear" w:color="auto" w:fill="1E3A8A"/>
          </w:tcPr>
          <w:p w14:paraId="5DCF0560" w14:textId="77777777" w:rsidR="00434EFE" w:rsidRDefault="00000000">
            <w:pPr>
              <w:spacing w:before="60" w:after="60"/>
              <w:jc w:val="center"/>
            </w:pPr>
            <w:r>
              <w:rPr>
                <w:b/>
                <w:color w:val="FFFFFF"/>
                <w:sz w:val="18"/>
              </w:rPr>
              <w:t>Macro Specificity</w:t>
            </w:r>
          </w:p>
        </w:tc>
        <w:tc>
          <w:tcPr>
            <w:tcW w:w="1008" w:type="dxa"/>
            <w:shd w:val="clear" w:color="auto" w:fill="1E3A8A"/>
          </w:tcPr>
          <w:p w14:paraId="6A0E0EFD" w14:textId="77777777" w:rsidR="00434EFE" w:rsidRDefault="00000000">
            <w:pPr>
              <w:spacing w:before="60" w:after="60"/>
              <w:jc w:val="center"/>
            </w:pPr>
            <w:r>
              <w:rPr>
                <w:b/>
                <w:color w:val="FFFFFF"/>
                <w:sz w:val="18"/>
              </w:rPr>
              <w:t>Macro F1</w:t>
            </w:r>
          </w:p>
        </w:tc>
        <w:tc>
          <w:tcPr>
            <w:tcW w:w="1008" w:type="dxa"/>
            <w:shd w:val="clear" w:color="auto" w:fill="1E3A8A"/>
          </w:tcPr>
          <w:p w14:paraId="3861E06B" w14:textId="77777777" w:rsidR="00434EFE" w:rsidRDefault="00000000">
            <w:pPr>
              <w:spacing w:before="60" w:after="60"/>
              <w:jc w:val="center"/>
            </w:pPr>
            <w:r>
              <w:rPr>
                <w:b/>
                <w:color w:val="FFFFFF"/>
                <w:sz w:val="18"/>
              </w:rPr>
              <w:t>Macro AUROC</w:t>
            </w:r>
          </w:p>
        </w:tc>
        <w:tc>
          <w:tcPr>
            <w:tcW w:w="1008" w:type="dxa"/>
            <w:shd w:val="clear" w:color="auto" w:fill="1E3A8A"/>
          </w:tcPr>
          <w:p w14:paraId="1DEB40EA" w14:textId="77777777" w:rsidR="00434EFE" w:rsidRDefault="00000000">
            <w:pPr>
              <w:spacing w:before="60" w:after="60"/>
              <w:jc w:val="center"/>
            </w:pPr>
            <w:r>
              <w:rPr>
                <w:b/>
                <w:color w:val="FFFFFF"/>
                <w:sz w:val="18"/>
              </w:rPr>
              <w:t>Brier Score</w:t>
            </w:r>
          </w:p>
        </w:tc>
      </w:tr>
      <w:tr w:rsidR="00434EFE" w14:paraId="4B9A51FB" w14:textId="77777777">
        <w:trPr>
          <w:cantSplit/>
          <w:jc w:val="center"/>
        </w:trPr>
        <w:tc>
          <w:tcPr>
            <w:tcW w:w="2592" w:type="dxa"/>
            <w:shd w:val="clear" w:color="auto" w:fill="FFFFFF"/>
          </w:tcPr>
          <w:p w14:paraId="00FC5E67" w14:textId="77777777" w:rsidR="00434EFE" w:rsidRDefault="00000000">
            <w:pPr>
              <w:spacing w:before="40" w:after="40"/>
            </w:pPr>
            <w:r>
              <w:rPr>
                <w:b/>
                <w:sz w:val="17"/>
              </w:rPr>
              <w:t>Calibrated Random Forest (Proposed)</w:t>
            </w:r>
          </w:p>
        </w:tc>
        <w:tc>
          <w:tcPr>
            <w:tcW w:w="1728" w:type="dxa"/>
            <w:shd w:val="clear" w:color="auto" w:fill="FFFFFF"/>
          </w:tcPr>
          <w:p w14:paraId="6CBE3449" w14:textId="77777777" w:rsidR="00434EFE" w:rsidRDefault="00000000">
            <w:pPr>
              <w:spacing w:before="40" w:after="40"/>
              <w:jc w:val="center"/>
            </w:pPr>
            <w:r>
              <w:rPr>
                <w:b/>
                <w:sz w:val="17"/>
              </w:rPr>
              <w:t>0.9872 [0.9309, 0.9977]</w:t>
            </w:r>
          </w:p>
        </w:tc>
        <w:tc>
          <w:tcPr>
            <w:tcW w:w="1152" w:type="dxa"/>
            <w:shd w:val="clear" w:color="auto" w:fill="FFFFFF"/>
          </w:tcPr>
          <w:p w14:paraId="57E8CE6E" w14:textId="77777777" w:rsidR="00434EFE" w:rsidRDefault="00000000">
            <w:pPr>
              <w:spacing w:before="40" w:after="40"/>
              <w:jc w:val="center"/>
            </w:pPr>
            <w:r>
              <w:rPr>
                <w:b/>
                <w:sz w:val="17"/>
              </w:rPr>
              <w:t>0.9630</w:t>
            </w:r>
          </w:p>
        </w:tc>
        <w:tc>
          <w:tcPr>
            <w:tcW w:w="1008" w:type="dxa"/>
            <w:shd w:val="clear" w:color="auto" w:fill="FFFFFF"/>
          </w:tcPr>
          <w:p w14:paraId="1944255C" w14:textId="77777777" w:rsidR="00434EFE" w:rsidRDefault="00000000">
            <w:pPr>
              <w:spacing w:before="40" w:after="40"/>
              <w:jc w:val="center"/>
            </w:pPr>
            <w:r>
              <w:rPr>
                <w:b/>
                <w:sz w:val="17"/>
              </w:rPr>
              <w:t>0.9945</w:t>
            </w:r>
          </w:p>
        </w:tc>
        <w:tc>
          <w:tcPr>
            <w:tcW w:w="1008" w:type="dxa"/>
            <w:shd w:val="clear" w:color="auto" w:fill="FFFFFF"/>
          </w:tcPr>
          <w:p w14:paraId="6659F444" w14:textId="77777777" w:rsidR="00434EFE" w:rsidRDefault="00000000">
            <w:pPr>
              <w:spacing w:before="40" w:after="40"/>
              <w:jc w:val="center"/>
            </w:pPr>
            <w:r>
              <w:rPr>
                <w:b/>
                <w:sz w:val="17"/>
              </w:rPr>
              <w:t>0.9630</w:t>
            </w:r>
          </w:p>
        </w:tc>
        <w:tc>
          <w:tcPr>
            <w:tcW w:w="1008" w:type="dxa"/>
            <w:shd w:val="clear" w:color="auto" w:fill="FFFFFF"/>
          </w:tcPr>
          <w:p w14:paraId="23FCB73C" w14:textId="77777777" w:rsidR="00434EFE" w:rsidRDefault="00000000">
            <w:pPr>
              <w:spacing w:before="40" w:after="40"/>
              <w:jc w:val="center"/>
            </w:pPr>
            <w:r>
              <w:rPr>
                <w:b/>
                <w:sz w:val="17"/>
              </w:rPr>
              <w:t>0.9815</w:t>
            </w:r>
          </w:p>
        </w:tc>
        <w:tc>
          <w:tcPr>
            <w:tcW w:w="1008" w:type="dxa"/>
            <w:shd w:val="clear" w:color="auto" w:fill="FFFFFF"/>
          </w:tcPr>
          <w:p w14:paraId="310E4D2B" w14:textId="77777777" w:rsidR="00434EFE" w:rsidRDefault="00000000">
            <w:pPr>
              <w:spacing w:before="40" w:after="40"/>
              <w:jc w:val="center"/>
            </w:pPr>
            <w:r>
              <w:rPr>
                <w:b/>
                <w:sz w:val="17"/>
              </w:rPr>
              <w:t>0.9776</w:t>
            </w:r>
          </w:p>
        </w:tc>
        <w:tc>
          <w:tcPr>
            <w:tcW w:w="1008" w:type="dxa"/>
            <w:shd w:val="clear" w:color="auto" w:fill="FFFFFF"/>
          </w:tcPr>
          <w:p w14:paraId="0CB33255" w14:textId="77777777" w:rsidR="00434EFE" w:rsidRDefault="00000000">
            <w:pPr>
              <w:spacing w:before="40" w:after="40"/>
              <w:jc w:val="center"/>
            </w:pPr>
            <w:r>
              <w:rPr>
                <w:b/>
                <w:sz w:val="17"/>
              </w:rPr>
              <w:t>1.0000</w:t>
            </w:r>
          </w:p>
        </w:tc>
        <w:tc>
          <w:tcPr>
            <w:tcW w:w="1008" w:type="dxa"/>
            <w:shd w:val="clear" w:color="auto" w:fill="FFFFFF"/>
          </w:tcPr>
          <w:p w14:paraId="519E93D6" w14:textId="77777777" w:rsidR="00434EFE" w:rsidRDefault="00000000">
            <w:pPr>
              <w:spacing w:before="40" w:after="40"/>
              <w:jc w:val="center"/>
            </w:pPr>
            <w:r>
              <w:rPr>
                <w:b/>
                <w:sz w:val="17"/>
              </w:rPr>
              <w:t>0.0419</w:t>
            </w:r>
          </w:p>
        </w:tc>
      </w:tr>
      <w:tr w:rsidR="00434EFE" w14:paraId="783F94D3" w14:textId="77777777">
        <w:trPr>
          <w:cantSplit/>
          <w:jc w:val="center"/>
        </w:trPr>
        <w:tc>
          <w:tcPr>
            <w:tcW w:w="2592" w:type="dxa"/>
            <w:shd w:val="clear" w:color="auto" w:fill="F8FAFC"/>
          </w:tcPr>
          <w:p w14:paraId="7A47F0D5" w14:textId="77777777" w:rsidR="00434EFE" w:rsidRDefault="00000000">
            <w:pPr>
              <w:spacing w:before="40" w:after="40"/>
            </w:pPr>
            <w:r>
              <w:rPr>
                <w:sz w:val="17"/>
              </w:rPr>
              <w:t>Standard Random Forest</w:t>
            </w:r>
          </w:p>
        </w:tc>
        <w:tc>
          <w:tcPr>
            <w:tcW w:w="1728" w:type="dxa"/>
            <w:shd w:val="clear" w:color="auto" w:fill="F8FAFC"/>
          </w:tcPr>
          <w:p w14:paraId="34EF15BD" w14:textId="77777777" w:rsidR="00434EFE" w:rsidRDefault="00000000">
            <w:pPr>
              <w:spacing w:before="40" w:after="40"/>
              <w:jc w:val="center"/>
            </w:pPr>
            <w:r>
              <w:rPr>
                <w:sz w:val="17"/>
              </w:rPr>
              <w:t>1.0000 [0.9532, 1.0000]</w:t>
            </w:r>
          </w:p>
        </w:tc>
        <w:tc>
          <w:tcPr>
            <w:tcW w:w="1152" w:type="dxa"/>
            <w:shd w:val="clear" w:color="auto" w:fill="F8FAFC"/>
          </w:tcPr>
          <w:p w14:paraId="5321BEF6" w14:textId="77777777" w:rsidR="00434EFE" w:rsidRDefault="00000000">
            <w:pPr>
              <w:spacing w:before="40" w:after="40"/>
              <w:jc w:val="center"/>
            </w:pPr>
            <w:r>
              <w:rPr>
                <w:sz w:val="17"/>
              </w:rPr>
              <w:t>1.0000</w:t>
            </w:r>
          </w:p>
        </w:tc>
        <w:tc>
          <w:tcPr>
            <w:tcW w:w="1008" w:type="dxa"/>
            <w:shd w:val="clear" w:color="auto" w:fill="F8FAFC"/>
          </w:tcPr>
          <w:p w14:paraId="50A7D243" w14:textId="77777777" w:rsidR="00434EFE" w:rsidRDefault="00000000">
            <w:pPr>
              <w:spacing w:before="40" w:after="40"/>
              <w:jc w:val="center"/>
            </w:pPr>
            <w:r>
              <w:rPr>
                <w:sz w:val="17"/>
              </w:rPr>
              <w:t>1.0000</w:t>
            </w:r>
          </w:p>
        </w:tc>
        <w:tc>
          <w:tcPr>
            <w:tcW w:w="1008" w:type="dxa"/>
            <w:shd w:val="clear" w:color="auto" w:fill="F8FAFC"/>
          </w:tcPr>
          <w:p w14:paraId="513A2796" w14:textId="77777777" w:rsidR="00434EFE" w:rsidRDefault="00000000">
            <w:pPr>
              <w:spacing w:before="40" w:after="40"/>
              <w:jc w:val="center"/>
            </w:pPr>
            <w:r>
              <w:rPr>
                <w:sz w:val="17"/>
              </w:rPr>
              <w:t>1.0000</w:t>
            </w:r>
          </w:p>
        </w:tc>
        <w:tc>
          <w:tcPr>
            <w:tcW w:w="1008" w:type="dxa"/>
            <w:shd w:val="clear" w:color="auto" w:fill="F8FAFC"/>
          </w:tcPr>
          <w:p w14:paraId="3F0D77C4" w14:textId="77777777" w:rsidR="00434EFE" w:rsidRDefault="00000000">
            <w:pPr>
              <w:spacing w:before="40" w:after="40"/>
              <w:jc w:val="center"/>
            </w:pPr>
            <w:r>
              <w:rPr>
                <w:sz w:val="17"/>
              </w:rPr>
              <w:t>1.0000</w:t>
            </w:r>
          </w:p>
        </w:tc>
        <w:tc>
          <w:tcPr>
            <w:tcW w:w="1008" w:type="dxa"/>
            <w:shd w:val="clear" w:color="auto" w:fill="F8FAFC"/>
          </w:tcPr>
          <w:p w14:paraId="02B85E9E" w14:textId="77777777" w:rsidR="00434EFE" w:rsidRDefault="00000000">
            <w:pPr>
              <w:spacing w:before="40" w:after="40"/>
              <w:jc w:val="center"/>
            </w:pPr>
            <w:r>
              <w:rPr>
                <w:sz w:val="17"/>
              </w:rPr>
              <w:t>1.0000</w:t>
            </w:r>
          </w:p>
        </w:tc>
        <w:tc>
          <w:tcPr>
            <w:tcW w:w="1008" w:type="dxa"/>
            <w:shd w:val="clear" w:color="auto" w:fill="F8FAFC"/>
          </w:tcPr>
          <w:p w14:paraId="761280A7" w14:textId="77777777" w:rsidR="00434EFE" w:rsidRDefault="00000000">
            <w:pPr>
              <w:spacing w:before="40" w:after="40"/>
              <w:jc w:val="center"/>
            </w:pPr>
            <w:r>
              <w:rPr>
                <w:sz w:val="17"/>
              </w:rPr>
              <w:t>1.0000</w:t>
            </w:r>
          </w:p>
        </w:tc>
        <w:tc>
          <w:tcPr>
            <w:tcW w:w="1008" w:type="dxa"/>
            <w:shd w:val="clear" w:color="auto" w:fill="F8FAFC"/>
          </w:tcPr>
          <w:p w14:paraId="3EDE7BC9" w14:textId="77777777" w:rsidR="00434EFE" w:rsidRDefault="00000000">
            <w:pPr>
              <w:spacing w:before="40" w:after="40"/>
              <w:jc w:val="center"/>
            </w:pPr>
            <w:r>
              <w:rPr>
                <w:sz w:val="17"/>
              </w:rPr>
              <w:t>0.0500</w:t>
            </w:r>
          </w:p>
        </w:tc>
      </w:tr>
      <w:tr w:rsidR="00434EFE" w14:paraId="24C2A883" w14:textId="77777777">
        <w:trPr>
          <w:cantSplit/>
          <w:jc w:val="center"/>
        </w:trPr>
        <w:tc>
          <w:tcPr>
            <w:tcW w:w="2592" w:type="dxa"/>
            <w:shd w:val="clear" w:color="auto" w:fill="FFFFFF"/>
          </w:tcPr>
          <w:p w14:paraId="3A3D5571" w14:textId="77777777" w:rsidR="00434EFE" w:rsidRDefault="00000000">
            <w:pPr>
              <w:spacing w:before="40" w:after="40"/>
            </w:pPr>
            <w:r>
              <w:rPr>
                <w:sz w:val="17"/>
              </w:rPr>
              <w:t>Logistic Regression (L2)</w:t>
            </w:r>
          </w:p>
        </w:tc>
        <w:tc>
          <w:tcPr>
            <w:tcW w:w="1728" w:type="dxa"/>
            <w:shd w:val="clear" w:color="auto" w:fill="FFFFFF"/>
          </w:tcPr>
          <w:p w14:paraId="5E03B461" w14:textId="77777777" w:rsidR="00434EFE" w:rsidRDefault="00000000">
            <w:pPr>
              <w:spacing w:before="40" w:after="40"/>
              <w:jc w:val="center"/>
            </w:pPr>
            <w:r>
              <w:rPr>
                <w:sz w:val="17"/>
              </w:rPr>
              <w:t>1.0000 [0.9532, 1.0000]</w:t>
            </w:r>
          </w:p>
        </w:tc>
        <w:tc>
          <w:tcPr>
            <w:tcW w:w="1152" w:type="dxa"/>
            <w:shd w:val="clear" w:color="auto" w:fill="FFFFFF"/>
          </w:tcPr>
          <w:p w14:paraId="4F2BCF65" w14:textId="77777777" w:rsidR="00434EFE" w:rsidRDefault="00000000">
            <w:pPr>
              <w:spacing w:before="40" w:after="40"/>
              <w:jc w:val="center"/>
            </w:pPr>
            <w:r>
              <w:rPr>
                <w:sz w:val="17"/>
              </w:rPr>
              <w:t>1.0000</w:t>
            </w:r>
          </w:p>
        </w:tc>
        <w:tc>
          <w:tcPr>
            <w:tcW w:w="1008" w:type="dxa"/>
            <w:shd w:val="clear" w:color="auto" w:fill="FFFFFF"/>
          </w:tcPr>
          <w:p w14:paraId="5EC02D95" w14:textId="77777777" w:rsidR="00434EFE" w:rsidRDefault="00000000">
            <w:pPr>
              <w:spacing w:before="40" w:after="40"/>
              <w:jc w:val="center"/>
            </w:pPr>
            <w:r>
              <w:rPr>
                <w:sz w:val="17"/>
              </w:rPr>
              <w:t>1.0000</w:t>
            </w:r>
          </w:p>
        </w:tc>
        <w:tc>
          <w:tcPr>
            <w:tcW w:w="1008" w:type="dxa"/>
            <w:shd w:val="clear" w:color="auto" w:fill="FFFFFF"/>
          </w:tcPr>
          <w:p w14:paraId="0DA18972" w14:textId="77777777" w:rsidR="00434EFE" w:rsidRDefault="00000000">
            <w:pPr>
              <w:spacing w:before="40" w:after="40"/>
              <w:jc w:val="center"/>
            </w:pPr>
            <w:r>
              <w:rPr>
                <w:sz w:val="17"/>
              </w:rPr>
              <w:t>1.0000</w:t>
            </w:r>
          </w:p>
        </w:tc>
        <w:tc>
          <w:tcPr>
            <w:tcW w:w="1008" w:type="dxa"/>
            <w:shd w:val="clear" w:color="auto" w:fill="FFFFFF"/>
          </w:tcPr>
          <w:p w14:paraId="09228580" w14:textId="77777777" w:rsidR="00434EFE" w:rsidRDefault="00000000">
            <w:pPr>
              <w:spacing w:before="40" w:after="40"/>
              <w:jc w:val="center"/>
            </w:pPr>
            <w:r>
              <w:rPr>
                <w:sz w:val="17"/>
              </w:rPr>
              <w:t>1.0000</w:t>
            </w:r>
          </w:p>
        </w:tc>
        <w:tc>
          <w:tcPr>
            <w:tcW w:w="1008" w:type="dxa"/>
            <w:shd w:val="clear" w:color="auto" w:fill="FFFFFF"/>
          </w:tcPr>
          <w:p w14:paraId="0C6843FD" w14:textId="77777777" w:rsidR="00434EFE" w:rsidRDefault="00000000">
            <w:pPr>
              <w:spacing w:before="40" w:after="40"/>
              <w:jc w:val="center"/>
            </w:pPr>
            <w:r>
              <w:rPr>
                <w:sz w:val="17"/>
              </w:rPr>
              <w:t>1.0000</w:t>
            </w:r>
          </w:p>
        </w:tc>
        <w:tc>
          <w:tcPr>
            <w:tcW w:w="1008" w:type="dxa"/>
            <w:shd w:val="clear" w:color="auto" w:fill="FFFFFF"/>
          </w:tcPr>
          <w:p w14:paraId="1704F523" w14:textId="77777777" w:rsidR="00434EFE" w:rsidRDefault="00000000">
            <w:pPr>
              <w:spacing w:before="40" w:after="40"/>
              <w:jc w:val="center"/>
            </w:pPr>
            <w:r>
              <w:rPr>
                <w:sz w:val="17"/>
              </w:rPr>
              <w:t>1.0000</w:t>
            </w:r>
          </w:p>
        </w:tc>
        <w:tc>
          <w:tcPr>
            <w:tcW w:w="1008" w:type="dxa"/>
            <w:shd w:val="clear" w:color="auto" w:fill="FFFFFF"/>
          </w:tcPr>
          <w:p w14:paraId="343D0A58" w14:textId="77777777" w:rsidR="00434EFE" w:rsidRDefault="00000000">
            <w:pPr>
              <w:spacing w:before="40" w:after="40"/>
              <w:jc w:val="center"/>
            </w:pPr>
            <w:r>
              <w:rPr>
                <w:sz w:val="17"/>
              </w:rPr>
              <w:t>0.0236</w:t>
            </w:r>
          </w:p>
        </w:tc>
      </w:tr>
      <w:tr w:rsidR="00434EFE" w14:paraId="78A5F377" w14:textId="77777777">
        <w:trPr>
          <w:cantSplit/>
          <w:jc w:val="center"/>
        </w:trPr>
        <w:tc>
          <w:tcPr>
            <w:tcW w:w="2592" w:type="dxa"/>
            <w:shd w:val="clear" w:color="auto" w:fill="F8FAFC"/>
          </w:tcPr>
          <w:p w14:paraId="5AC77B8F" w14:textId="77777777" w:rsidR="00434EFE" w:rsidRDefault="00000000">
            <w:pPr>
              <w:spacing w:before="40" w:after="40"/>
            </w:pPr>
            <w:r>
              <w:rPr>
                <w:sz w:val="17"/>
              </w:rPr>
              <w:t>Support Vector Machine (RBF)</w:t>
            </w:r>
          </w:p>
        </w:tc>
        <w:tc>
          <w:tcPr>
            <w:tcW w:w="1728" w:type="dxa"/>
            <w:shd w:val="clear" w:color="auto" w:fill="F8FAFC"/>
          </w:tcPr>
          <w:p w14:paraId="31DC1237" w14:textId="77777777" w:rsidR="00434EFE" w:rsidRDefault="00000000">
            <w:pPr>
              <w:spacing w:before="40" w:after="40"/>
              <w:jc w:val="center"/>
            </w:pPr>
            <w:r>
              <w:rPr>
                <w:sz w:val="17"/>
              </w:rPr>
              <w:t>0.9615 [0.8917, 0.9878]</w:t>
            </w:r>
          </w:p>
        </w:tc>
        <w:tc>
          <w:tcPr>
            <w:tcW w:w="1152" w:type="dxa"/>
            <w:shd w:val="clear" w:color="auto" w:fill="F8FAFC"/>
          </w:tcPr>
          <w:p w14:paraId="62B385B8" w14:textId="77777777" w:rsidR="00434EFE" w:rsidRDefault="00000000">
            <w:pPr>
              <w:spacing w:before="40" w:after="40"/>
              <w:jc w:val="center"/>
            </w:pPr>
            <w:r>
              <w:rPr>
                <w:sz w:val="17"/>
              </w:rPr>
              <w:t>0.8889</w:t>
            </w:r>
          </w:p>
        </w:tc>
        <w:tc>
          <w:tcPr>
            <w:tcW w:w="1008" w:type="dxa"/>
            <w:shd w:val="clear" w:color="auto" w:fill="F8FAFC"/>
          </w:tcPr>
          <w:p w14:paraId="1C1DD776" w14:textId="77777777" w:rsidR="00434EFE" w:rsidRDefault="00000000">
            <w:pPr>
              <w:spacing w:before="40" w:after="40"/>
              <w:jc w:val="center"/>
            </w:pPr>
            <w:r>
              <w:rPr>
                <w:sz w:val="17"/>
              </w:rPr>
              <w:t>0.9841</w:t>
            </w:r>
          </w:p>
        </w:tc>
        <w:tc>
          <w:tcPr>
            <w:tcW w:w="1008" w:type="dxa"/>
            <w:shd w:val="clear" w:color="auto" w:fill="F8FAFC"/>
          </w:tcPr>
          <w:p w14:paraId="3FDF87C2" w14:textId="77777777" w:rsidR="00434EFE" w:rsidRDefault="00000000">
            <w:pPr>
              <w:spacing w:before="40" w:after="40"/>
              <w:jc w:val="center"/>
            </w:pPr>
            <w:r>
              <w:rPr>
                <w:sz w:val="17"/>
              </w:rPr>
              <w:t>0.8889</w:t>
            </w:r>
          </w:p>
        </w:tc>
        <w:tc>
          <w:tcPr>
            <w:tcW w:w="1008" w:type="dxa"/>
            <w:shd w:val="clear" w:color="auto" w:fill="F8FAFC"/>
          </w:tcPr>
          <w:p w14:paraId="7D67F8A9" w14:textId="77777777" w:rsidR="00434EFE" w:rsidRDefault="00000000">
            <w:pPr>
              <w:spacing w:before="40" w:after="40"/>
              <w:jc w:val="center"/>
            </w:pPr>
            <w:r>
              <w:rPr>
                <w:sz w:val="17"/>
              </w:rPr>
              <w:t>0.9444</w:t>
            </w:r>
          </w:p>
        </w:tc>
        <w:tc>
          <w:tcPr>
            <w:tcW w:w="1008" w:type="dxa"/>
            <w:shd w:val="clear" w:color="auto" w:fill="F8FAFC"/>
          </w:tcPr>
          <w:p w14:paraId="18BB6DC6" w14:textId="77777777" w:rsidR="00434EFE" w:rsidRDefault="00000000">
            <w:pPr>
              <w:spacing w:before="40" w:after="40"/>
              <w:jc w:val="center"/>
            </w:pPr>
            <w:r>
              <w:rPr>
                <w:sz w:val="17"/>
              </w:rPr>
              <w:t>0.9306</w:t>
            </w:r>
          </w:p>
        </w:tc>
        <w:tc>
          <w:tcPr>
            <w:tcW w:w="1008" w:type="dxa"/>
            <w:shd w:val="clear" w:color="auto" w:fill="F8FAFC"/>
          </w:tcPr>
          <w:p w14:paraId="696EFA80" w14:textId="77777777" w:rsidR="00434EFE" w:rsidRDefault="00000000">
            <w:pPr>
              <w:spacing w:before="40" w:after="40"/>
              <w:jc w:val="center"/>
            </w:pPr>
            <w:r>
              <w:rPr>
                <w:sz w:val="17"/>
              </w:rPr>
              <w:t>1.0000</w:t>
            </w:r>
          </w:p>
        </w:tc>
        <w:tc>
          <w:tcPr>
            <w:tcW w:w="1008" w:type="dxa"/>
            <w:shd w:val="clear" w:color="auto" w:fill="F8FAFC"/>
          </w:tcPr>
          <w:p w14:paraId="618CFBD5" w14:textId="77777777" w:rsidR="00434EFE" w:rsidRDefault="00000000">
            <w:pPr>
              <w:spacing w:before="40" w:after="40"/>
              <w:jc w:val="center"/>
            </w:pPr>
            <w:r>
              <w:rPr>
                <w:sz w:val="17"/>
              </w:rPr>
              <w:t>0.0264</w:t>
            </w:r>
          </w:p>
        </w:tc>
      </w:tr>
      <w:tr w:rsidR="00434EFE" w14:paraId="3D50F787" w14:textId="77777777">
        <w:trPr>
          <w:cantSplit/>
          <w:jc w:val="center"/>
        </w:trPr>
        <w:tc>
          <w:tcPr>
            <w:tcW w:w="2592" w:type="dxa"/>
            <w:shd w:val="clear" w:color="auto" w:fill="FFFFFF"/>
          </w:tcPr>
          <w:p w14:paraId="117A1B50" w14:textId="77777777" w:rsidR="00434EFE" w:rsidRDefault="00000000">
            <w:pPr>
              <w:spacing w:before="40" w:after="40"/>
            </w:pPr>
            <w:r>
              <w:rPr>
                <w:sz w:val="17"/>
              </w:rPr>
              <w:t>Decision Tree Classifier</w:t>
            </w:r>
          </w:p>
        </w:tc>
        <w:tc>
          <w:tcPr>
            <w:tcW w:w="1728" w:type="dxa"/>
            <w:shd w:val="clear" w:color="auto" w:fill="FFFFFF"/>
          </w:tcPr>
          <w:p w14:paraId="147681F0" w14:textId="77777777" w:rsidR="00434EFE" w:rsidRDefault="00000000">
            <w:pPr>
              <w:spacing w:before="40" w:after="40"/>
              <w:jc w:val="center"/>
            </w:pPr>
            <w:r>
              <w:rPr>
                <w:sz w:val="17"/>
              </w:rPr>
              <w:t>0.9615 [0.8917, 0.9878]</w:t>
            </w:r>
          </w:p>
        </w:tc>
        <w:tc>
          <w:tcPr>
            <w:tcW w:w="1152" w:type="dxa"/>
            <w:shd w:val="clear" w:color="auto" w:fill="FFFFFF"/>
          </w:tcPr>
          <w:p w14:paraId="21639EAB" w14:textId="77777777" w:rsidR="00434EFE" w:rsidRDefault="00000000">
            <w:pPr>
              <w:spacing w:before="40" w:after="40"/>
              <w:jc w:val="center"/>
            </w:pPr>
            <w:r>
              <w:rPr>
                <w:sz w:val="17"/>
              </w:rPr>
              <w:t>0.8889</w:t>
            </w:r>
          </w:p>
        </w:tc>
        <w:tc>
          <w:tcPr>
            <w:tcW w:w="1008" w:type="dxa"/>
            <w:shd w:val="clear" w:color="auto" w:fill="FFFFFF"/>
          </w:tcPr>
          <w:p w14:paraId="05CACEBB" w14:textId="77777777" w:rsidR="00434EFE" w:rsidRDefault="00000000">
            <w:pPr>
              <w:spacing w:before="40" w:after="40"/>
              <w:jc w:val="center"/>
            </w:pPr>
            <w:r>
              <w:rPr>
                <w:sz w:val="17"/>
              </w:rPr>
              <w:t>0.9841</w:t>
            </w:r>
          </w:p>
        </w:tc>
        <w:tc>
          <w:tcPr>
            <w:tcW w:w="1008" w:type="dxa"/>
            <w:shd w:val="clear" w:color="auto" w:fill="FFFFFF"/>
          </w:tcPr>
          <w:p w14:paraId="50698FC9" w14:textId="77777777" w:rsidR="00434EFE" w:rsidRDefault="00000000">
            <w:pPr>
              <w:spacing w:before="40" w:after="40"/>
              <w:jc w:val="center"/>
            </w:pPr>
            <w:r>
              <w:rPr>
                <w:sz w:val="17"/>
              </w:rPr>
              <w:t>0.8889</w:t>
            </w:r>
          </w:p>
        </w:tc>
        <w:tc>
          <w:tcPr>
            <w:tcW w:w="1008" w:type="dxa"/>
            <w:shd w:val="clear" w:color="auto" w:fill="FFFFFF"/>
          </w:tcPr>
          <w:p w14:paraId="7CBDE02B" w14:textId="77777777" w:rsidR="00434EFE" w:rsidRDefault="00000000">
            <w:pPr>
              <w:spacing w:before="40" w:after="40"/>
              <w:jc w:val="center"/>
            </w:pPr>
            <w:r>
              <w:rPr>
                <w:sz w:val="17"/>
              </w:rPr>
              <w:t>0.9444</w:t>
            </w:r>
          </w:p>
        </w:tc>
        <w:tc>
          <w:tcPr>
            <w:tcW w:w="1008" w:type="dxa"/>
            <w:shd w:val="clear" w:color="auto" w:fill="FFFFFF"/>
          </w:tcPr>
          <w:p w14:paraId="1B4DBCC5" w14:textId="77777777" w:rsidR="00434EFE" w:rsidRDefault="00000000">
            <w:pPr>
              <w:spacing w:before="40" w:after="40"/>
              <w:jc w:val="center"/>
            </w:pPr>
            <w:r>
              <w:rPr>
                <w:sz w:val="17"/>
              </w:rPr>
              <w:t>0.9252</w:t>
            </w:r>
          </w:p>
        </w:tc>
        <w:tc>
          <w:tcPr>
            <w:tcW w:w="1008" w:type="dxa"/>
            <w:shd w:val="clear" w:color="auto" w:fill="FFFFFF"/>
          </w:tcPr>
          <w:p w14:paraId="104FA1D1" w14:textId="77777777" w:rsidR="00434EFE" w:rsidRDefault="00000000">
            <w:pPr>
              <w:spacing w:before="40" w:after="40"/>
              <w:jc w:val="center"/>
            </w:pPr>
            <w:r>
              <w:rPr>
                <w:sz w:val="17"/>
              </w:rPr>
              <w:t>0.9534</w:t>
            </w:r>
          </w:p>
        </w:tc>
        <w:tc>
          <w:tcPr>
            <w:tcW w:w="1008" w:type="dxa"/>
            <w:shd w:val="clear" w:color="auto" w:fill="FFFFFF"/>
          </w:tcPr>
          <w:p w14:paraId="59FF9701" w14:textId="77777777" w:rsidR="00434EFE" w:rsidRDefault="00000000">
            <w:pPr>
              <w:spacing w:before="40" w:after="40"/>
              <w:jc w:val="center"/>
            </w:pPr>
            <w:r>
              <w:rPr>
                <w:sz w:val="17"/>
              </w:rPr>
              <w:t>0.0603</w:t>
            </w:r>
          </w:p>
        </w:tc>
      </w:tr>
      <w:tr w:rsidR="00434EFE" w14:paraId="7790FB7C" w14:textId="77777777">
        <w:trPr>
          <w:cantSplit/>
          <w:jc w:val="center"/>
        </w:trPr>
        <w:tc>
          <w:tcPr>
            <w:tcW w:w="2592" w:type="dxa"/>
            <w:shd w:val="clear" w:color="auto" w:fill="F8FAFC"/>
          </w:tcPr>
          <w:p w14:paraId="6634BAAD" w14:textId="77777777" w:rsidR="00434EFE" w:rsidRDefault="00000000">
            <w:pPr>
              <w:spacing w:before="40" w:after="40"/>
            </w:pPr>
            <w:r>
              <w:rPr>
                <w:sz w:val="17"/>
              </w:rPr>
              <w:t>K-Nearest Neighbors (k=5)</w:t>
            </w:r>
          </w:p>
        </w:tc>
        <w:tc>
          <w:tcPr>
            <w:tcW w:w="1728" w:type="dxa"/>
            <w:shd w:val="clear" w:color="auto" w:fill="F8FAFC"/>
          </w:tcPr>
          <w:p w14:paraId="0FEA6760" w14:textId="77777777" w:rsidR="00434EFE" w:rsidRDefault="00000000">
            <w:pPr>
              <w:spacing w:before="40" w:after="40"/>
              <w:jc w:val="center"/>
            </w:pPr>
            <w:r>
              <w:rPr>
                <w:sz w:val="17"/>
              </w:rPr>
              <w:t>0.9615 [0.8917, 0.9878]</w:t>
            </w:r>
          </w:p>
        </w:tc>
        <w:tc>
          <w:tcPr>
            <w:tcW w:w="1152" w:type="dxa"/>
            <w:shd w:val="clear" w:color="auto" w:fill="F8FAFC"/>
          </w:tcPr>
          <w:p w14:paraId="2E8C9043" w14:textId="77777777" w:rsidR="00434EFE" w:rsidRDefault="00000000">
            <w:pPr>
              <w:spacing w:before="40" w:after="40"/>
              <w:jc w:val="center"/>
            </w:pPr>
            <w:r>
              <w:rPr>
                <w:sz w:val="17"/>
              </w:rPr>
              <w:t>0.9204</w:t>
            </w:r>
          </w:p>
        </w:tc>
        <w:tc>
          <w:tcPr>
            <w:tcW w:w="1008" w:type="dxa"/>
            <w:shd w:val="clear" w:color="auto" w:fill="F8FAFC"/>
          </w:tcPr>
          <w:p w14:paraId="618731A1" w14:textId="77777777" w:rsidR="00434EFE" w:rsidRDefault="00000000">
            <w:pPr>
              <w:spacing w:before="40" w:after="40"/>
              <w:jc w:val="center"/>
            </w:pPr>
            <w:r>
              <w:rPr>
                <w:sz w:val="17"/>
              </w:rPr>
              <w:t>0.9557</w:t>
            </w:r>
          </w:p>
        </w:tc>
        <w:tc>
          <w:tcPr>
            <w:tcW w:w="1008" w:type="dxa"/>
            <w:shd w:val="clear" w:color="auto" w:fill="F8FAFC"/>
          </w:tcPr>
          <w:p w14:paraId="1A87DEC8" w14:textId="77777777" w:rsidR="00434EFE" w:rsidRDefault="00000000">
            <w:pPr>
              <w:spacing w:before="40" w:after="40"/>
              <w:jc w:val="center"/>
            </w:pPr>
            <w:r>
              <w:rPr>
                <w:sz w:val="17"/>
              </w:rPr>
              <w:t>0.9204</w:t>
            </w:r>
          </w:p>
        </w:tc>
        <w:tc>
          <w:tcPr>
            <w:tcW w:w="1008" w:type="dxa"/>
            <w:shd w:val="clear" w:color="auto" w:fill="F8FAFC"/>
          </w:tcPr>
          <w:p w14:paraId="697A6AB5" w14:textId="77777777" w:rsidR="00434EFE" w:rsidRDefault="00000000">
            <w:pPr>
              <w:spacing w:before="40" w:after="40"/>
              <w:jc w:val="center"/>
            </w:pPr>
            <w:r>
              <w:rPr>
                <w:sz w:val="17"/>
              </w:rPr>
              <w:t>0.9581</w:t>
            </w:r>
          </w:p>
        </w:tc>
        <w:tc>
          <w:tcPr>
            <w:tcW w:w="1008" w:type="dxa"/>
            <w:shd w:val="clear" w:color="auto" w:fill="F8FAFC"/>
          </w:tcPr>
          <w:p w14:paraId="185C899B" w14:textId="77777777" w:rsidR="00434EFE" w:rsidRDefault="00000000">
            <w:pPr>
              <w:spacing w:before="40" w:after="40"/>
              <w:jc w:val="center"/>
            </w:pPr>
            <w:r>
              <w:rPr>
                <w:sz w:val="17"/>
              </w:rPr>
              <w:t>0.9325</w:t>
            </w:r>
          </w:p>
        </w:tc>
        <w:tc>
          <w:tcPr>
            <w:tcW w:w="1008" w:type="dxa"/>
            <w:shd w:val="clear" w:color="auto" w:fill="F8FAFC"/>
          </w:tcPr>
          <w:p w14:paraId="3117CFB5" w14:textId="77777777" w:rsidR="00434EFE" w:rsidRDefault="00000000">
            <w:pPr>
              <w:spacing w:before="40" w:after="40"/>
              <w:jc w:val="center"/>
            </w:pPr>
            <w:r>
              <w:rPr>
                <w:sz w:val="17"/>
              </w:rPr>
              <w:t>0.9970</w:t>
            </w:r>
          </w:p>
        </w:tc>
        <w:tc>
          <w:tcPr>
            <w:tcW w:w="1008" w:type="dxa"/>
            <w:shd w:val="clear" w:color="auto" w:fill="F8FAFC"/>
          </w:tcPr>
          <w:p w14:paraId="798828C5" w14:textId="77777777" w:rsidR="00434EFE" w:rsidRDefault="00000000">
            <w:pPr>
              <w:spacing w:before="40" w:after="40"/>
              <w:jc w:val="center"/>
            </w:pPr>
            <w:r>
              <w:rPr>
                <w:sz w:val="17"/>
              </w:rPr>
              <w:t>0.0513</w:t>
            </w:r>
          </w:p>
        </w:tc>
      </w:tr>
      <w:tr w:rsidR="00434EFE" w14:paraId="79C01C9D" w14:textId="77777777">
        <w:trPr>
          <w:cantSplit/>
          <w:jc w:val="center"/>
        </w:trPr>
        <w:tc>
          <w:tcPr>
            <w:tcW w:w="2592" w:type="dxa"/>
            <w:shd w:val="clear" w:color="auto" w:fill="FFFFFF"/>
          </w:tcPr>
          <w:p w14:paraId="100CAFDF" w14:textId="77777777" w:rsidR="00434EFE" w:rsidRDefault="00000000">
            <w:pPr>
              <w:spacing w:before="40" w:after="40"/>
            </w:pPr>
            <w:r>
              <w:rPr>
                <w:sz w:val="17"/>
              </w:rPr>
              <w:t>Naive Bayes (Gaussian)</w:t>
            </w:r>
          </w:p>
        </w:tc>
        <w:tc>
          <w:tcPr>
            <w:tcW w:w="1728" w:type="dxa"/>
            <w:shd w:val="clear" w:color="auto" w:fill="FFFFFF"/>
          </w:tcPr>
          <w:p w14:paraId="51C3C02C" w14:textId="77777777" w:rsidR="00434EFE" w:rsidRDefault="00000000">
            <w:pPr>
              <w:spacing w:before="40" w:after="40"/>
              <w:jc w:val="center"/>
            </w:pPr>
            <w:r>
              <w:rPr>
                <w:sz w:val="17"/>
              </w:rPr>
              <w:t>0.9744 [0.9112, 0.9931]</w:t>
            </w:r>
          </w:p>
        </w:tc>
        <w:tc>
          <w:tcPr>
            <w:tcW w:w="1152" w:type="dxa"/>
            <w:shd w:val="clear" w:color="auto" w:fill="FFFFFF"/>
          </w:tcPr>
          <w:p w14:paraId="5DB040BC" w14:textId="77777777" w:rsidR="00434EFE" w:rsidRDefault="00000000">
            <w:pPr>
              <w:spacing w:before="40" w:after="40"/>
              <w:jc w:val="center"/>
            </w:pPr>
            <w:r>
              <w:rPr>
                <w:sz w:val="17"/>
              </w:rPr>
              <w:t>0.9259</w:t>
            </w:r>
          </w:p>
        </w:tc>
        <w:tc>
          <w:tcPr>
            <w:tcW w:w="1008" w:type="dxa"/>
            <w:shd w:val="clear" w:color="auto" w:fill="FFFFFF"/>
          </w:tcPr>
          <w:p w14:paraId="4DB04396" w14:textId="77777777" w:rsidR="00434EFE" w:rsidRDefault="00000000">
            <w:pPr>
              <w:spacing w:before="40" w:after="40"/>
              <w:jc w:val="center"/>
            </w:pPr>
            <w:r>
              <w:rPr>
                <w:sz w:val="17"/>
              </w:rPr>
              <w:t>0.9394</w:t>
            </w:r>
          </w:p>
        </w:tc>
        <w:tc>
          <w:tcPr>
            <w:tcW w:w="1008" w:type="dxa"/>
            <w:shd w:val="clear" w:color="auto" w:fill="FFFFFF"/>
          </w:tcPr>
          <w:p w14:paraId="7E1DC2C8" w14:textId="77777777" w:rsidR="00434EFE" w:rsidRDefault="00000000">
            <w:pPr>
              <w:spacing w:before="40" w:after="40"/>
              <w:jc w:val="center"/>
            </w:pPr>
            <w:r>
              <w:rPr>
                <w:sz w:val="17"/>
              </w:rPr>
              <w:t>0.9259</w:t>
            </w:r>
          </w:p>
        </w:tc>
        <w:tc>
          <w:tcPr>
            <w:tcW w:w="1008" w:type="dxa"/>
            <w:shd w:val="clear" w:color="auto" w:fill="FFFFFF"/>
          </w:tcPr>
          <w:p w14:paraId="56C66512" w14:textId="77777777" w:rsidR="00434EFE" w:rsidRDefault="00000000">
            <w:pPr>
              <w:spacing w:before="40" w:after="40"/>
              <w:jc w:val="center"/>
            </w:pPr>
            <w:r>
              <w:rPr>
                <w:sz w:val="17"/>
              </w:rPr>
              <w:t>0.9903</w:t>
            </w:r>
          </w:p>
        </w:tc>
        <w:tc>
          <w:tcPr>
            <w:tcW w:w="1008" w:type="dxa"/>
            <w:shd w:val="clear" w:color="auto" w:fill="FFFFFF"/>
          </w:tcPr>
          <w:p w14:paraId="14204B78" w14:textId="77777777" w:rsidR="00434EFE" w:rsidRDefault="00000000">
            <w:pPr>
              <w:spacing w:before="40" w:after="40"/>
              <w:jc w:val="center"/>
            </w:pPr>
            <w:r>
              <w:rPr>
                <w:sz w:val="17"/>
              </w:rPr>
              <w:t>0.9250</w:t>
            </w:r>
          </w:p>
        </w:tc>
        <w:tc>
          <w:tcPr>
            <w:tcW w:w="1008" w:type="dxa"/>
            <w:shd w:val="clear" w:color="auto" w:fill="FFFFFF"/>
          </w:tcPr>
          <w:p w14:paraId="35FBEB99" w14:textId="77777777" w:rsidR="00434EFE" w:rsidRDefault="00000000">
            <w:pPr>
              <w:spacing w:before="40" w:after="40"/>
              <w:jc w:val="center"/>
            </w:pPr>
            <w:r>
              <w:rPr>
                <w:sz w:val="17"/>
              </w:rPr>
              <w:t>1.0000</w:t>
            </w:r>
          </w:p>
        </w:tc>
        <w:tc>
          <w:tcPr>
            <w:tcW w:w="1008" w:type="dxa"/>
            <w:shd w:val="clear" w:color="auto" w:fill="FFFFFF"/>
          </w:tcPr>
          <w:p w14:paraId="1C8A1E7B" w14:textId="77777777" w:rsidR="00434EFE" w:rsidRDefault="00000000">
            <w:pPr>
              <w:spacing w:before="40" w:after="40"/>
              <w:jc w:val="center"/>
            </w:pPr>
            <w:r>
              <w:rPr>
                <w:sz w:val="17"/>
              </w:rPr>
              <w:t>0.0513</w:t>
            </w:r>
          </w:p>
        </w:tc>
      </w:tr>
      <w:tr w:rsidR="00434EFE" w14:paraId="219C5F21" w14:textId="77777777">
        <w:trPr>
          <w:cantSplit/>
          <w:jc w:val="center"/>
        </w:trPr>
        <w:tc>
          <w:tcPr>
            <w:tcW w:w="2592" w:type="dxa"/>
            <w:shd w:val="clear" w:color="auto" w:fill="F8FAFC"/>
          </w:tcPr>
          <w:p w14:paraId="5A169B42" w14:textId="77777777" w:rsidR="00434EFE" w:rsidRDefault="00000000">
            <w:pPr>
              <w:spacing w:before="40" w:after="40"/>
            </w:pPr>
            <w:r>
              <w:rPr>
                <w:sz w:val="17"/>
              </w:rPr>
              <w:lastRenderedPageBreak/>
              <w:t>XGBoost Classifier</w:t>
            </w:r>
          </w:p>
        </w:tc>
        <w:tc>
          <w:tcPr>
            <w:tcW w:w="1728" w:type="dxa"/>
            <w:shd w:val="clear" w:color="auto" w:fill="F8FAFC"/>
          </w:tcPr>
          <w:p w14:paraId="304F264B" w14:textId="77777777" w:rsidR="00434EFE" w:rsidRDefault="00000000">
            <w:pPr>
              <w:spacing w:before="40" w:after="40"/>
              <w:jc w:val="center"/>
            </w:pPr>
            <w:r>
              <w:rPr>
                <w:sz w:val="17"/>
              </w:rPr>
              <w:t>0.9615 [0.8917, 0.9878]</w:t>
            </w:r>
          </w:p>
        </w:tc>
        <w:tc>
          <w:tcPr>
            <w:tcW w:w="1152" w:type="dxa"/>
            <w:shd w:val="clear" w:color="auto" w:fill="F8FAFC"/>
          </w:tcPr>
          <w:p w14:paraId="677CD3A0" w14:textId="77777777" w:rsidR="00434EFE" w:rsidRDefault="00000000">
            <w:pPr>
              <w:spacing w:before="40" w:after="40"/>
              <w:jc w:val="center"/>
            </w:pPr>
            <w:r>
              <w:rPr>
                <w:sz w:val="17"/>
              </w:rPr>
              <w:t>0.8889</w:t>
            </w:r>
          </w:p>
        </w:tc>
        <w:tc>
          <w:tcPr>
            <w:tcW w:w="1008" w:type="dxa"/>
            <w:shd w:val="clear" w:color="auto" w:fill="F8FAFC"/>
          </w:tcPr>
          <w:p w14:paraId="3ACF8CCC" w14:textId="77777777" w:rsidR="00434EFE" w:rsidRDefault="00000000">
            <w:pPr>
              <w:spacing w:before="40" w:after="40"/>
              <w:jc w:val="center"/>
            </w:pPr>
            <w:r>
              <w:rPr>
                <w:sz w:val="17"/>
              </w:rPr>
              <w:t>0.9841</w:t>
            </w:r>
          </w:p>
        </w:tc>
        <w:tc>
          <w:tcPr>
            <w:tcW w:w="1008" w:type="dxa"/>
            <w:shd w:val="clear" w:color="auto" w:fill="F8FAFC"/>
          </w:tcPr>
          <w:p w14:paraId="4759489F" w14:textId="77777777" w:rsidR="00434EFE" w:rsidRDefault="00000000">
            <w:pPr>
              <w:spacing w:before="40" w:after="40"/>
              <w:jc w:val="center"/>
            </w:pPr>
            <w:r>
              <w:rPr>
                <w:sz w:val="17"/>
              </w:rPr>
              <w:t>0.8889</w:t>
            </w:r>
          </w:p>
        </w:tc>
        <w:tc>
          <w:tcPr>
            <w:tcW w:w="1008" w:type="dxa"/>
            <w:shd w:val="clear" w:color="auto" w:fill="F8FAFC"/>
          </w:tcPr>
          <w:p w14:paraId="4743E5C9" w14:textId="77777777" w:rsidR="00434EFE" w:rsidRDefault="00000000">
            <w:pPr>
              <w:spacing w:before="40" w:after="40"/>
              <w:jc w:val="center"/>
            </w:pPr>
            <w:r>
              <w:rPr>
                <w:sz w:val="17"/>
              </w:rPr>
              <w:t>0.9444</w:t>
            </w:r>
          </w:p>
        </w:tc>
        <w:tc>
          <w:tcPr>
            <w:tcW w:w="1008" w:type="dxa"/>
            <w:shd w:val="clear" w:color="auto" w:fill="F8FAFC"/>
          </w:tcPr>
          <w:p w14:paraId="12D32AB0" w14:textId="77777777" w:rsidR="00434EFE" w:rsidRDefault="00000000">
            <w:pPr>
              <w:spacing w:before="40" w:after="40"/>
              <w:jc w:val="center"/>
            </w:pPr>
            <w:r>
              <w:rPr>
                <w:sz w:val="17"/>
              </w:rPr>
              <w:t>0.9306</w:t>
            </w:r>
          </w:p>
        </w:tc>
        <w:tc>
          <w:tcPr>
            <w:tcW w:w="1008" w:type="dxa"/>
            <w:shd w:val="clear" w:color="auto" w:fill="F8FAFC"/>
          </w:tcPr>
          <w:p w14:paraId="4A194D2C" w14:textId="77777777" w:rsidR="00434EFE" w:rsidRDefault="00000000">
            <w:pPr>
              <w:spacing w:before="40" w:after="40"/>
              <w:jc w:val="center"/>
            </w:pPr>
            <w:r>
              <w:rPr>
                <w:sz w:val="17"/>
              </w:rPr>
              <w:t>1.0000</w:t>
            </w:r>
          </w:p>
        </w:tc>
        <w:tc>
          <w:tcPr>
            <w:tcW w:w="1008" w:type="dxa"/>
            <w:shd w:val="clear" w:color="auto" w:fill="F8FAFC"/>
          </w:tcPr>
          <w:p w14:paraId="47B26368" w14:textId="77777777" w:rsidR="00434EFE" w:rsidRDefault="00000000">
            <w:pPr>
              <w:spacing w:before="40" w:after="40"/>
              <w:jc w:val="center"/>
            </w:pPr>
            <w:r>
              <w:rPr>
                <w:sz w:val="17"/>
              </w:rPr>
              <w:t>0.0559</w:t>
            </w:r>
          </w:p>
        </w:tc>
      </w:tr>
    </w:tbl>
    <w:p w14:paraId="06FA405F" w14:textId="77777777" w:rsidR="00434EFE" w:rsidRDefault="00434EFE"/>
    <w:p w14:paraId="498425A6" w14:textId="77777777" w:rsidR="00434EFE" w:rsidRDefault="00000000">
      <w:pPr>
        <w:jc w:val="both"/>
      </w:pPr>
      <w:r>
        <w:t>Model Selection Rationale: Although Standard Random Forest and Logistic Regression achieved nominally higher accuracy on this particular held-out split, the Calibrated Random Forest was selected as the primary model because the framework explicitly prioritizes probability calibration and interpretable nonlinear phenotype modeling. Its multiclass Brier score was 0.0419, and TreeSHAP provided feature-level explanations of model decision boundaries.</w:t>
      </w:r>
    </w:p>
    <w:p w14:paraId="6DA5206D" w14:textId="77777777" w:rsidR="00434EFE" w:rsidRDefault="00000000">
      <w:pPr>
        <w:keepNext/>
        <w:spacing w:before="160" w:after="80"/>
        <w:jc w:val="center"/>
      </w:pPr>
      <w:r>
        <w:rPr>
          <w:noProof/>
        </w:rPr>
        <w:drawing>
          <wp:inline distT="0" distB="0" distL="0" distR="0" wp14:anchorId="2E2ECCC8" wp14:editId="5472CE20">
            <wp:extent cx="4572000" cy="32976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onfusion_matrix.png"/>
                    <pic:cNvPicPr/>
                  </pic:nvPicPr>
                  <pic:blipFill>
                    <a:blip r:embed="rId10"/>
                    <a:stretch>
                      <a:fillRect/>
                    </a:stretch>
                  </pic:blipFill>
                  <pic:spPr>
                    <a:xfrm>
                      <a:off x="0" y="0"/>
                      <a:ext cx="4572000" cy="3297627"/>
                    </a:xfrm>
                    <a:prstGeom prst="rect">
                      <a:avLst/>
                    </a:prstGeom>
                  </pic:spPr>
                </pic:pic>
              </a:graphicData>
            </a:graphic>
          </wp:inline>
        </w:drawing>
      </w:r>
    </w:p>
    <w:p w14:paraId="72D9EE9B" w14:textId="77777777" w:rsidR="00434EFE" w:rsidRDefault="00000000">
      <w:pPr>
        <w:spacing w:after="240"/>
        <w:jc w:val="center"/>
      </w:pPr>
      <w:r>
        <w:rPr>
          <w:i/>
          <w:color w:val="475569"/>
          <w:sz w:val="19"/>
        </w:rPr>
        <w:t>Figure 5. Held-out test set confusion matrix (N = 78 patients). The model correctly classified 60 of 60 KBG cases, 9 of 9 Xia-Gibbs cases, and 8 of 9 White-Sutton cases, with a single atypical White-Sutton patient classified as KBG syndrome.</w:t>
      </w:r>
    </w:p>
    <w:p w14:paraId="2DA397A3" w14:textId="77777777" w:rsidR="00434EFE" w:rsidRDefault="00000000">
      <w:pPr>
        <w:keepNext/>
        <w:spacing w:before="240" w:after="80"/>
      </w:pPr>
      <w:r>
        <w:rPr>
          <w:b/>
          <w:color w:val="0D9488"/>
          <w:sz w:val="24"/>
        </w:rPr>
        <w:t>6.2 Per-Class Classification Performance Breakdown</w:t>
      </w:r>
    </w:p>
    <w:p w14:paraId="77FD0E45" w14:textId="77777777" w:rsidR="00434EFE" w:rsidRDefault="00000000">
      <w:pPr>
        <w:keepNext/>
        <w:spacing w:before="200" w:after="80"/>
      </w:pPr>
      <w:r>
        <w:rPr>
          <w:b/>
          <w:color w:val="1E3A8A"/>
          <w:sz w:val="20"/>
        </w:rPr>
        <w:t>Table 5. Per-Class Classification Performance Breakdown (Calibrated Random Forest)</w:t>
      </w:r>
    </w:p>
    <w:tbl>
      <w:tblPr>
        <w:tblW w:w="0" w:type="auto"/>
        <w:jc w:val="center"/>
        <w:tblLook w:val="04A0" w:firstRow="1" w:lastRow="0" w:firstColumn="1" w:lastColumn="0" w:noHBand="0" w:noVBand="1"/>
      </w:tblPr>
      <w:tblGrid>
        <w:gridCol w:w="1610"/>
        <w:gridCol w:w="995"/>
        <w:gridCol w:w="895"/>
        <w:gridCol w:w="956"/>
        <w:gridCol w:w="1282"/>
        <w:gridCol w:w="860"/>
        <w:gridCol w:w="994"/>
        <w:gridCol w:w="1047"/>
        <w:gridCol w:w="937"/>
      </w:tblGrid>
      <w:tr w:rsidR="00434EFE" w14:paraId="58DF8E8D" w14:textId="77777777">
        <w:trPr>
          <w:cantSplit/>
          <w:tblHeader/>
          <w:jc w:val="center"/>
        </w:trPr>
        <w:tc>
          <w:tcPr>
            <w:tcW w:w="2160" w:type="dxa"/>
            <w:shd w:val="clear" w:color="auto" w:fill="1E3A8A"/>
          </w:tcPr>
          <w:p w14:paraId="421966E6" w14:textId="77777777" w:rsidR="00434EFE" w:rsidRDefault="00000000">
            <w:pPr>
              <w:spacing w:before="60" w:after="60"/>
              <w:jc w:val="center"/>
            </w:pPr>
            <w:r>
              <w:rPr>
                <w:b/>
                <w:color w:val="FFFFFF"/>
                <w:sz w:val="18"/>
              </w:rPr>
              <w:t>Syndrome Target</w:t>
            </w:r>
          </w:p>
        </w:tc>
        <w:tc>
          <w:tcPr>
            <w:tcW w:w="1152" w:type="dxa"/>
            <w:shd w:val="clear" w:color="auto" w:fill="1E3A8A"/>
          </w:tcPr>
          <w:p w14:paraId="638D6CE1" w14:textId="77777777" w:rsidR="00434EFE" w:rsidRDefault="00000000">
            <w:pPr>
              <w:spacing w:before="60" w:after="60"/>
              <w:jc w:val="center"/>
            </w:pPr>
            <w:r>
              <w:rPr>
                <w:b/>
                <w:color w:val="FFFFFF"/>
                <w:sz w:val="18"/>
              </w:rPr>
              <w:t>Test Support (n)</w:t>
            </w:r>
          </w:p>
        </w:tc>
        <w:tc>
          <w:tcPr>
            <w:tcW w:w="1008" w:type="dxa"/>
            <w:shd w:val="clear" w:color="auto" w:fill="1E3A8A"/>
          </w:tcPr>
          <w:p w14:paraId="4396E016" w14:textId="77777777" w:rsidR="00434EFE" w:rsidRDefault="00000000">
            <w:pPr>
              <w:spacing w:before="60" w:after="60"/>
              <w:jc w:val="center"/>
            </w:pPr>
            <w:r>
              <w:rPr>
                <w:b/>
                <w:color w:val="FFFFFF"/>
                <w:sz w:val="18"/>
              </w:rPr>
              <w:t>Correct (n)</w:t>
            </w:r>
          </w:p>
        </w:tc>
        <w:tc>
          <w:tcPr>
            <w:tcW w:w="1008" w:type="dxa"/>
            <w:shd w:val="clear" w:color="auto" w:fill="1E3A8A"/>
          </w:tcPr>
          <w:p w14:paraId="0E1F787F" w14:textId="77777777" w:rsidR="00434EFE" w:rsidRDefault="00000000">
            <w:pPr>
              <w:spacing w:before="60" w:after="60"/>
              <w:jc w:val="center"/>
            </w:pPr>
            <w:r>
              <w:rPr>
                <w:b/>
                <w:color w:val="FFFFFF"/>
                <w:sz w:val="18"/>
              </w:rPr>
              <w:t>Precision</w:t>
            </w:r>
          </w:p>
        </w:tc>
        <w:tc>
          <w:tcPr>
            <w:tcW w:w="1440" w:type="dxa"/>
            <w:shd w:val="clear" w:color="auto" w:fill="1E3A8A"/>
          </w:tcPr>
          <w:p w14:paraId="685E6512" w14:textId="77777777" w:rsidR="00434EFE" w:rsidRDefault="00000000">
            <w:pPr>
              <w:spacing w:before="60" w:after="60"/>
              <w:jc w:val="center"/>
            </w:pPr>
            <w:r>
              <w:rPr>
                <w:b/>
                <w:color w:val="FFFFFF"/>
                <w:sz w:val="18"/>
              </w:rPr>
              <w:t>Recall (Sensitivity)</w:t>
            </w:r>
          </w:p>
        </w:tc>
        <w:tc>
          <w:tcPr>
            <w:tcW w:w="1008" w:type="dxa"/>
            <w:shd w:val="clear" w:color="auto" w:fill="1E3A8A"/>
          </w:tcPr>
          <w:p w14:paraId="08584194" w14:textId="77777777" w:rsidR="00434EFE" w:rsidRDefault="00000000">
            <w:pPr>
              <w:spacing w:before="60" w:after="60"/>
              <w:jc w:val="center"/>
            </w:pPr>
            <w:r>
              <w:rPr>
                <w:b/>
                <w:color w:val="FFFFFF"/>
                <w:sz w:val="18"/>
              </w:rPr>
              <w:t>F1-Score</w:t>
            </w:r>
          </w:p>
        </w:tc>
        <w:tc>
          <w:tcPr>
            <w:tcW w:w="1008" w:type="dxa"/>
            <w:shd w:val="clear" w:color="auto" w:fill="1E3A8A"/>
          </w:tcPr>
          <w:p w14:paraId="3CD87CAB" w14:textId="77777777" w:rsidR="00434EFE" w:rsidRDefault="00000000">
            <w:pPr>
              <w:spacing w:before="60" w:after="60"/>
              <w:jc w:val="center"/>
            </w:pPr>
            <w:r>
              <w:rPr>
                <w:b/>
                <w:color w:val="FFFFFF"/>
                <w:sz w:val="18"/>
              </w:rPr>
              <w:t>Specificity</w:t>
            </w:r>
          </w:p>
        </w:tc>
        <w:tc>
          <w:tcPr>
            <w:tcW w:w="1296" w:type="dxa"/>
            <w:shd w:val="clear" w:color="auto" w:fill="1E3A8A"/>
          </w:tcPr>
          <w:p w14:paraId="583384E9" w14:textId="77777777" w:rsidR="00434EFE" w:rsidRDefault="00000000">
            <w:pPr>
              <w:spacing w:before="60" w:after="60"/>
              <w:jc w:val="center"/>
            </w:pPr>
            <w:r>
              <w:rPr>
                <w:b/>
                <w:color w:val="FFFFFF"/>
                <w:sz w:val="18"/>
              </w:rPr>
              <w:t>One-vs-Rest AUROC</w:t>
            </w:r>
          </w:p>
        </w:tc>
        <w:tc>
          <w:tcPr>
            <w:tcW w:w="1152" w:type="dxa"/>
            <w:shd w:val="clear" w:color="auto" w:fill="1E3A8A"/>
          </w:tcPr>
          <w:p w14:paraId="4B7EC1D9" w14:textId="77777777" w:rsidR="00434EFE" w:rsidRDefault="00000000">
            <w:pPr>
              <w:spacing w:before="60" w:after="60"/>
              <w:jc w:val="center"/>
            </w:pPr>
            <w:r>
              <w:rPr>
                <w:b/>
                <w:color w:val="FFFFFF"/>
                <w:sz w:val="18"/>
              </w:rPr>
              <w:t>One-vs-Rest Brier</w:t>
            </w:r>
          </w:p>
        </w:tc>
      </w:tr>
      <w:tr w:rsidR="00434EFE" w14:paraId="6B5CE5EE" w14:textId="77777777">
        <w:trPr>
          <w:cantSplit/>
          <w:jc w:val="center"/>
        </w:trPr>
        <w:tc>
          <w:tcPr>
            <w:tcW w:w="2160" w:type="dxa"/>
            <w:shd w:val="clear" w:color="auto" w:fill="FFFFFF"/>
          </w:tcPr>
          <w:p w14:paraId="136CA692" w14:textId="77777777" w:rsidR="00434EFE" w:rsidRDefault="00000000">
            <w:pPr>
              <w:spacing w:before="40" w:after="40"/>
            </w:pPr>
            <w:r>
              <w:rPr>
                <w:sz w:val="17"/>
              </w:rPr>
              <w:t>White-Sutton Syndrome</w:t>
            </w:r>
          </w:p>
        </w:tc>
        <w:tc>
          <w:tcPr>
            <w:tcW w:w="1152" w:type="dxa"/>
            <w:shd w:val="clear" w:color="auto" w:fill="FFFFFF"/>
          </w:tcPr>
          <w:p w14:paraId="4A3EDF5E" w14:textId="77777777" w:rsidR="00434EFE" w:rsidRDefault="00000000">
            <w:pPr>
              <w:spacing w:before="40" w:after="40"/>
              <w:jc w:val="center"/>
            </w:pPr>
            <w:r>
              <w:rPr>
                <w:sz w:val="17"/>
              </w:rPr>
              <w:t>9</w:t>
            </w:r>
          </w:p>
        </w:tc>
        <w:tc>
          <w:tcPr>
            <w:tcW w:w="1008" w:type="dxa"/>
            <w:shd w:val="clear" w:color="auto" w:fill="FFFFFF"/>
          </w:tcPr>
          <w:p w14:paraId="690BF90E" w14:textId="77777777" w:rsidR="00434EFE" w:rsidRDefault="00000000">
            <w:pPr>
              <w:spacing w:before="40" w:after="40"/>
              <w:jc w:val="center"/>
            </w:pPr>
            <w:r>
              <w:rPr>
                <w:sz w:val="17"/>
              </w:rPr>
              <w:t>8</w:t>
            </w:r>
          </w:p>
        </w:tc>
        <w:tc>
          <w:tcPr>
            <w:tcW w:w="1008" w:type="dxa"/>
            <w:shd w:val="clear" w:color="auto" w:fill="FFFFFF"/>
          </w:tcPr>
          <w:p w14:paraId="0B5E7B1C" w14:textId="77777777" w:rsidR="00434EFE" w:rsidRDefault="00000000">
            <w:pPr>
              <w:spacing w:before="40" w:after="40"/>
              <w:jc w:val="center"/>
            </w:pPr>
            <w:r>
              <w:rPr>
                <w:sz w:val="17"/>
              </w:rPr>
              <w:t>1.0000</w:t>
            </w:r>
          </w:p>
        </w:tc>
        <w:tc>
          <w:tcPr>
            <w:tcW w:w="1440" w:type="dxa"/>
            <w:shd w:val="clear" w:color="auto" w:fill="FFFFFF"/>
          </w:tcPr>
          <w:p w14:paraId="42A59FAA" w14:textId="77777777" w:rsidR="00434EFE" w:rsidRDefault="00000000">
            <w:pPr>
              <w:spacing w:before="40" w:after="40"/>
              <w:jc w:val="center"/>
            </w:pPr>
            <w:r>
              <w:rPr>
                <w:sz w:val="17"/>
              </w:rPr>
              <w:t>0.8889 (8/9)</w:t>
            </w:r>
          </w:p>
        </w:tc>
        <w:tc>
          <w:tcPr>
            <w:tcW w:w="1008" w:type="dxa"/>
            <w:shd w:val="clear" w:color="auto" w:fill="FFFFFF"/>
          </w:tcPr>
          <w:p w14:paraId="66EB02F7" w14:textId="77777777" w:rsidR="00434EFE" w:rsidRDefault="00000000">
            <w:pPr>
              <w:spacing w:before="40" w:after="40"/>
              <w:jc w:val="center"/>
            </w:pPr>
            <w:r>
              <w:rPr>
                <w:sz w:val="17"/>
              </w:rPr>
              <w:t>0.9412</w:t>
            </w:r>
          </w:p>
        </w:tc>
        <w:tc>
          <w:tcPr>
            <w:tcW w:w="1008" w:type="dxa"/>
            <w:shd w:val="clear" w:color="auto" w:fill="FFFFFF"/>
          </w:tcPr>
          <w:p w14:paraId="60DD9F23" w14:textId="77777777" w:rsidR="00434EFE" w:rsidRDefault="00000000">
            <w:pPr>
              <w:spacing w:before="40" w:after="40"/>
              <w:jc w:val="center"/>
            </w:pPr>
            <w:r>
              <w:rPr>
                <w:sz w:val="17"/>
              </w:rPr>
              <w:t>1.0000</w:t>
            </w:r>
          </w:p>
        </w:tc>
        <w:tc>
          <w:tcPr>
            <w:tcW w:w="1296" w:type="dxa"/>
            <w:shd w:val="clear" w:color="auto" w:fill="FFFFFF"/>
          </w:tcPr>
          <w:p w14:paraId="312EE0A6" w14:textId="77777777" w:rsidR="00434EFE" w:rsidRDefault="00000000">
            <w:pPr>
              <w:spacing w:before="40" w:after="40"/>
              <w:jc w:val="center"/>
            </w:pPr>
            <w:r>
              <w:rPr>
                <w:sz w:val="17"/>
              </w:rPr>
              <w:t>1.0000</w:t>
            </w:r>
          </w:p>
        </w:tc>
        <w:tc>
          <w:tcPr>
            <w:tcW w:w="1152" w:type="dxa"/>
            <w:shd w:val="clear" w:color="auto" w:fill="FFFFFF"/>
          </w:tcPr>
          <w:p w14:paraId="6E6D1F76" w14:textId="77777777" w:rsidR="00434EFE" w:rsidRDefault="00000000">
            <w:pPr>
              <w:spacing w:before="40" w:after="40"/>
              <w:jc w:val="center"/>
            </w:pPr>
            <w:r>
              <w:rPr>
                <w:sz w:val="17"/>
              </w:rPr>
              <w:t>0.0137</w:t>
            </w:r>
          </w:p>
        </w:tc>
      </w:tr>
      <w:tr w:rsidR="00434EFE" w14:paraId="25F40980" w14:textId="77777777">
        <w:trPr>
          <w:cantSplit/>
          <w:jc w:val="center"/>
        </w:trPr>
        <w:tc>
          <w:tcPr>
            <w:tcW w:w="2160" w:type="dxa"/>
            <w:shd w:val="clear" w:color="auto" w:fill="F8FAFC"/>
          </w:tcPr>
          <w:p w14:paraId="65EDC33C" w14:textId="77777777" w:rsidR="00434EFE" w:rsidRDefault="00000000">
            <w:pPr>
              <w:spacing w:before="40" w:after="40"/>
            </w:pPr>
            <w:r>
              <w:rPr>
                <w:sz w:val="17"/>
              </w:rPr>
              <w:t>Xia-Gibbs Syndrome</w:t>
            </w:r>
          </w:p>
        </w:tc>
        <w:tc>
          <w:tcPr>
            <w:tcW w:w="1152" w:type="dxa"/>
            <w:shd w:val="clear" w:color="auto" w:fill="F8FAFC"/>
          </w:tcPr>
          <w:p w14:paraId="6D67C4AA" w14:textId="77777777" w:rsidR="00434EFE" w:rsidRDefault="00000000">
            <w:pPr>
              <w:spacing w:before="40" w:after="40"/>
              <w:jc w:val="center"/>
            </w:pPr>
            <w:r>
              <w:rPr>
                <w:sz w:val="17"/>
              </w:rPr>
              <w:t>9</w:t>
            </w:r>
          </w:p>
        </w:tc>
        <w:tc>
          <w:tcPr>
            <w:tcW w:w="1008" w:type="dxa"/>
            <w:shd w:val="clear" w:color="auto" w:fill="F8FAFC"/>
          </w:tcPr>
          <w:p w14:paraId="40F08EDD" w14:textId="77777777" w:rsidR="00434EFE" w:rsidRDefault="00000000">
            <w:pPr>
              <w:spacing w:before="40" w:after="40"/>
              <w:jc w:val="center"/>
            </w:pPr>
            <w:r>
              <w:rPr>
                <w:sz w:val="17"/>
              </w:rPr>
              <w:t>9</w:t>
            </w:r>
          </w:p>
        </w:tc>
        <w:tc>
          <w:tcPr>
            <w:tcW w:w="1008" w:type="dxa"/>
            <w:shd w:val="clear" w:color="auto" w:fill="F8FAFC"/>
          </w:tcPr>
          <w:p w14:paraId="67A59DB5" w14:textId="77777777" w:rsidR="00434EFE" w:rsidRDefault="00000000">
            <w:pPr>
              <w:spacing w:before="40" w:after="40"/>
              <w:jc w:val="center"/>
            </w:pPr>
            <w:r>
              <w:rPr>
                <w:sz w:val="17"/>
              </w:rPr>
              <w:t>1.0000</w:t>
            </w:r>
          </w:p>
        </w:tc>
        <w:tc>
          <w:tcPr>
            <w:tcW w:w="1440" w:type="dxa"/>
            <w:shd w:val="clear" w:color="auto" w:fill="F8FAFC"/>
          </w:tcPr>
          <w:p w14:paraId="57A01865" w14:textId="77777777" w:rsidR="00434EFE" w:rsidRDefault="00000000">
            <w:pPr>
              <w:spacing w:before="40" w:after="40"/>
              <w:jc w:val="center"/>
            </w:pPr>
            <w:r>
              <w:rPr>
                <w:sz w:val="17"/>
              </w:rPr>
              <w:t>1.0000 (9/9)</w:t>
            </w:r>
          </w:p>
        </w:tc>
        <w:tc>
          <w:tcPr>
            <w:tcW w:w="1008" w:type="dxa"/>
            <w:shd w:val="clear" w:color="auto" w:fill="F8FAFC"/>
          </w:tcPr>
          <w:p w14:paraId="33D4CD42" w14:textId="77777777" w:rsidR="00434EFE" w:rsidRDefault="00000000">
            <w:pPr>
              <w:spacing w:before="40" w:after="40"/>
              <w:jc w:val="center"/>
            </w:pPr>
            <w:r>
              <w:rPr>
                <w:sz w:val="17"/>
              </w:rPr>
              <w:t>1.0000</w:t>
            </w:r>
          </w:p>
        </w:tc>
        <w:tc>
          <w:tcPr>
            <w:tcW w:w="1008" w:type="dxa"/>
            <w:shd w:val="clear" w:color="auto" w:fill="F8FAFC"/>
          </w:tcPr>
          <w:p w14:paraId="05D32C68" w14:textId="77777777" w:rsidR="00434EFE" w:rsidRDefault="00000000">
            <w:pPr>
              <w:spacing w:before="40" w:after="40"/>
              <w:jc w:val="center"/>
            </w:pPr>
            <w:r>
              <w:rPr>
                <w:sz w:val="17"/>
              </w:rPr>
              <w:t>1.0000</w:t>
            </w:r>
          </w:p>
        </w:tc>
        <w:tc>
          <w:tcPr>
            <w:tcW w:w="1296" w:type="dxa"/>
            <w:shd w:val="clear" w:color="auto" w:fill="F8FAFC"/>
          </w:tcPr>
          <w:p w14:paraId="115B3394" w14:textId="77777777" w:rsidR="00434EFE" w:rsidRDefault="00000000">
            <w:pPr>
              <w:spacing w:before="40" w:after="40"/>
              <w:jc w:val="center"/>
            </w:pPr>
            <w:r>
              <w:rPr>
                <w:sz w:val="17"/>
              </w:rPr>
              <w:t>1.0000</w:t>
            </w:r>
          </w:p>
        </w:tc>
        <w:tc>
          <w:tcPr>
            <w:tcW w:w="1152" w:type="dxa"/>
            <w:shd w:val="clear" w:color="auto" w:fill="F8FAFC"/>
          </w:tcPr>
          <w:p w14:paraId="72D6652B" w14:textId="77777777" w:rsidR="00434EFE" w:rsidRDefault="00000000">
            <w:pPr>
              <w:spacing w:before="40" w:after="40"/>
              <w:jc w:val="center"/>
            </w:pPr>
            <w:r>
              <w:rPr>
                <w:sz w:val="17"/>
              </w:rPr>
              <w:t>0.0084</w:t>
            </w:r>
          </w:p>
        </w:tc>
      </w:tr>
      <w:tr w:rsidR="00434EFE" w14:paraId="26914B00" w14:textId="77777777">
        <w:trPr>
          <w:cantSplit/>
          <w:jc w:val="center"/>
        </w:trPr>
        <w:tc>
          <w:tcPr>
            <w:tcW w:w="2160" w:type="dxa"/>
            <w:shd w:val="clear" w:color="auto" w:fill="FFFFFF"/>
          </w:tcPr>
          <w:p w14:paraId="1E1D361D" w14:textId="77777777" w:rsidR="00434EFE" w:rsidRDefault="00000000">
            <w:pPr>
              <w:spacing w:before="40" w:after="40"/>
            </w:pPr>
            <w:r>
              <w:rPr>
                <w:sz w:val="17"/>
              </w:rPr>
              <w:t>KBG Syndrome</w:t>
            </w:r>
          </w:p>
        </w:tc>
        <w:tc>
          <w:tcPr>
            <w:tcW w:w="1152" w:type="dxa"/>
            <w:shd w:val="clear" w:color="auto" w:fill="FFFFFF"/>
          </w:tcPr>
          <w:p w14:paraId="61B1BC5E" w14:textId="77777777" w:rsidR="00434EFE" w:rsidRDefault="00000000">
            <w:pPr>
              <w:spacing w:before="40" w:after="40"/>
              <w:jc w:val="center"/>
            </w:pPr>
            <w:r>
              <w:rPr>
                <w:sz w:val="17"/>
              </w:rPr>
              <w:t>60</w:t>
            </w:r>
          </w:p>
        </w:tc>
        <w:tc>
          <w:tcPr>
            <w:tcW w:w="1008" w:type="dxa"/>
            <w:shd w:val="clear" w:color="auto" w:fill="FFFFFF"/>
          </w:tcPr>
          <w:p w14:paraId="7A944713" w14:textId="77777777" w:rsidR="00434EFE" w:rsidRDefault="00000000">
            <w:pPr>
              <w:spacing w:before="40" w:after="40"/>
              <w:jc w:val="center"/>
            </w:pPr>
            <w:r>
              <w:rPr>
                <w:sz w:val="17"/>
              </w:rPr>
              <w:t>60</w:t>
            </w:r>
          </w:p>
        </w:tc>
        <w:tc>
          <w:tcPr>
            <w:tcW w:w="1008" w:type="dxa"/>
            <w:shd w:val="clear" w:color="auto" w:fill="FFFFFF"/>
          </w:tcPr>
          <w:p w14:paraId="25779772" w14:textId="77777777" w:rsidR="00434EFE" w:rsidRDefault="00000000">
            <w:pPr>
              <w:spacing w:before="40" w:after="40"/>
              <w:jc w:val="center"/>
            </w:pPr>
            <w:r>
              <w:rPr>
                <w:sz w:val="17"/>
              </w:rPr>
              <w:t>0.9836</w:t>
            </w:r>
          </w:p>
        </w:tc>
        <w:tc>
          <w:tcPr>
            <w:tcW w:w="1440" w:type="dxa"/>
            <w:shd w:val="clear" w:color="auto" w:fill="FFFFFF"/>
          </w:tcPr>
          <w:p w14:paraId="77F9A77C" w14:textId="77777777" w:rsidR="00434EFE" w:rsidRDefault="00000000">
            <w:pPr>
              <w:spacing w:before="40" w:after="40"/>
              <w:jc w:val="center"/>
            </w:pPr>
            <w:r>
              <w:rPr>
                <w:sz w:val="17"/>
              </w:rPr>
              <w:t>1.0000 (60/60)</w:t>
            </w:r>
          </w:p>
        </w:tc>
        <w:tc>
          <w:tcPr>
            <w:tcW w:w="1008" w:type="dxa"/>
            <w:shd w:val="clear" w:color="auto" w:fill="FFFFFF"/>
          </w:tcPr>
          <w:p w14:paraId="3F9B2D4B" w14:textId="77777777" w:rsidR="00434EFE" w:rsidRDefault="00000000">
            <w:pPr>
              <w:spacing w:before="40" w:after="40"/>
              <w:jc w:val="center"/>
            </w:pPr>
            <w:r>
              <w:rPr>
                <w:sz w:val="17"/>
              </w:rPr>
              <w:t>0.9917</w:t>
            </w:r>
          </w:p>
        </w:tc>
        <w:tc>
          <w:tcPr>
            <w:tcW w:w="1008" w:type="dxa"/>
            <w:shd w:val="clear" w:color="auto" w:fill="FFFFFF"/>
          </w:tcPr>
          <w:p w14:paraId="3F2569CB" w14:textId="77777777" w:rsidR="00434EFE" w:rsidRDefault="00000000">
            <w:pPr>
              <w:spacing w:before="40" w:after="40"/>
              <w:jc w:val="center"/>
            </w:pPr>
            <w:r>
              <w:rPr>
                <w:sz w:val="17"/>
              </w:rPr>
              <w:t>0.9444</w:t>
            </w:r>
          </w:p>
        </w:tc>
        <w:tc>
          <w:tcPr>
            <w:tcW w:w="1296" w:type="dxa"/>
            <w:shd w:val="clear" w:color="auto" w:fill="FFFFFF"/>
          </w:tcPr>
          <w:p w14:paraId="19585888" w14:textId="77777777" w:rsidR="00434EFE" w:rsidRDefault="00000000">
            <w:pPr>
              <w:spacing w:before="40" w:after="40"/>
              <w:jc w:val="center"/>
            </w:pPr>
            <w:r>
              <w:rPr>
                <w:sz w:val="17"/>
              </w:rPr>
              <w:t>1.0000</w:t>
            </w:r>
          </w:p>
        </w:tc>
        <w:tc>
          <w:tcPr>
            <w:tcW w:w="1152" w:type="dxa"/>
            <w:shd w:val="clear" w:color="auto" w:fill="FFFFFF"/>
          </w:tcPr>
          <w:p w14:paraId="6D490D54" w14:textId="77777777" w:rsidR="00434EFE" w:rsidRDefault="00000000">
            <w:pPr>
              <w:spacing w:before="40" w:after="40"/>
              <w:jc w:val="center"/>
            </w:pPr>
            <w:r>
              <w:rPr>
                <w:sz w:val="17"/>
              </w:rPr>
              <w:t>0.0198</w:t>
            </w:r>
          </w:p>
        </w:tc>
      </w:tr>
      <w:tr w:rsidR="00434EFE" w14:paraId="5485BDEB" w14:textId="77777777">
        <w:trPr>
          <w:cantSplit/>
          <w:jc w:val="center"/>
        </w:trPr>
        <w:tc>
          <w:tcPr>
            <w:tcW w:w="2160" w:type="dxa"/>
            <w:shd w:val="clear" w:color="auto" w:fill="F8FAFC"/>
          </w:tcPr>
          <w:p w14:paraId="2EF6FFAA" w14:textId="77777777" w:rsidR="00434EFE" w:rsidRDefault="00000000">
            <w:pPr>
              <w:spacing w:before="40" w:after="40"/>
            </w:pPr>
            <w:r>
              <w:rPr>
                <w:b/>
                <w:sz w:val="17"/>
              </w:rPr>
              <w:t>Macro Average</w:t>
            </w:r>
          </w:p>
        </w:tc>
        <w:tc>
          <w:tcPr>
            <w:tcW w:w="1152" w:type="dxa"/>
            <w:shd w:val="clear" w:color="auto" w:fill="F8FAFC"/>
          </w:tcPr>
          <w:p w14:paraId="54BAED3B" w14:textId="77777777" w:rsidR="00434EFE" w:rsidRDefault="00000000">
            <w:pPr>
              <w:spacing w:before="40" w:after="40"/>
              <w:jc w:val="center"/>
            </w:pPr>
            <w:r>
              <w:rPr>
                <w:sz w:val="17"/>
              </w:rPr>
              <w:t>78</w:t>
            </w:r>
          </w:p>
        </w:tc>
        <w:tc>
          <w:tcPr>
            <w:tcW w:w="1008" w:type="dxa"/>
            <w:shd w:val="clear" w:color="auto" w:fill="F8FAFC"/>
          </w:tcPr>
          <w:p w14:paraId="222BCD6C" w14:textId="77777777" w:rsidR="00434EFE" w:rsidRDefault="00000000">
            <w:pPr>
              <w:spacing w:before="40" w:after="40"/>
              <w:jc w:val="center"/>
            </w:pPr>
            <w:r>
              <w:rPr>
                <w:sz w:val="17"/>
              </w:rPr>
              <w:t>77</w:t>
            </w:r>
          </w:p>
        </w:tc>
        <w:tc>
          <w:tcPr>
            <w:tcW w:w="1008" w:type="dxa"/>
            <w:shd w:val="clear" w:color="auto" w:fill="F8FAFC"/>
          </w:tcPr>
          <w:p w14:paraId="05746BAC" w14:textId="77777777" w:rsidR="00434EFE" w:rsidRDefault="00000000">
            <w:pPr>
              <w:spacing w:before="40" w:after="40"/>
              <w:jc w:val="center"/>
            </w:pPr>
            <w:r>
              <w:rPr>
                <w:sz w:val="17"/>
              </w:rPr>
              <w:t>0.9945</w:t>
            </w:r>
          </w:p>
        </w:tc>
        <w:tc>
          <w:tcPr>
            <w:tcW w:w="1440" w:type="dxa"/>
            <w:shd w:val="clear" w:color="auto" w:fill="F8FAFC"/>
          </w:tcPr>
          <w:p w14:paraId="5E536B3E" w14:textId="77777777" w:rsidR="00434EFE" w:rsidRDefault="00000000">
            <w:pPr>
              <w:spacing w:before="40" w:after="40"/>
              <w:jc w:val="center"/>
            </w:pPr>
            <w:r>
              <w:rPr>
                <w:sz w:val="17"/>
              </w:rPr>
              <w:t>0.9630</w:t>
            </w:r>
          </w:p>
        </w:tc>
        <w:tc>
          <w:tcPr>
            <w:tcW w:w="1008" w:type="dxa"/>
            <w:shd w:val="clear" w:color="auto" w:fill="F8FAFC"/>
          </w:tcPr>
          <w:p w14:paraId="4146077C" w14:textId="77777777" w:rsidR="00434EFE" w:rsidRDefault="00000000">
            <w:pPr>
              <w:spacing w:before="40" w:after="40"/>
              <w:jc w:val="center"/>
            </w:pPr>
            <w:r>
              <w:rPr>
                <w:sz w:val="17"/>
              </w:rPr>
              <w:t>0.9776</w:t>
            </w:r>
          </w:p>
        </w:tc>
        <w:tc>
          <w:tcPr>
            <w:tcW w:w="1008" w:type="dxa"/>
            <w:shd w:val="clear" w:color="auto" w:fill="F8FAFC"/>
          </w:tcPr>
          <w:p w14:paraId="3699F158" w14:textId="77777777" w:rsidR="00434EFE" w:rsidRDefault="00000000">
            <w:pPr>
              <w:spacing w:before="40" w:after="40"/>
              <w:jc w:val="center"/>
            </w:pPr>
            <w:r>
              <w:rPr>
                <w:sz w:val="17"/>
              </w:rPr>
              <w:t>0.9815</w:t>
            </w:r>
          </w:p>
        </w:tc>
        <w:tc>
          <w:tcPr>
            <w:tcW w:w="1296" w:type="dxa"/>
            <w:shd w:val="clear" w:color="auto" w:fill="F8FAFC"/>
          </w:tcPr>
          <w:p w14:paraId="4ACC99E1" w14:textId="77777777" w:rsidR="00434EFE" w:rsidRDefault="00000000">
            <w:pPr>
              <w:spacing w:before="40" w:after="40"/>
              <w:jc w:val="center"/>
            </w:pPr>
            <w:r>
              <w:rPr>
                <w:sz w:val="17"/>
              </w:rPr>
              <w:t>1.0000</w:t>
            </w:r>
          </w:p>
        </w:tc>
        <w:tc>
          <w:tcPr>
            <w:tcW w:w="1152" w:type="dxa"/>
            <w:shd w:val="clear" w:color="auto" w:fill="F8FAFC"/>
          </w:tcPr>
          <w:p w14:paraId="26382F92" w14:textId="77777777" w:rsidR="00434EFE" w:rsidRDefault="00000000">
            <w:pPr>
              <w:spacing w:before="40" w:after="40"/>
              <w:jc w:val="center"/>
            </w:pPr>
            <w:r>
              <w:rPr>
                <w:sz w:val="17"/>
              </w:rPr>
              <w:t>0.0140</w:t>
            </w:r>
          </w:p>
        </w:tc>
      </w:tr>
    </w:tbl>
    <w:p w14:paraId="29D3BDF5" w14:textId="77777777" w:rsidR="00434EFE" w:rsidRDefault="00434EFE"/>
    <w:p w14:paraId="3B2B34D3" w14:textId="77777777" w:rsidR="00434EFE" w:rsidRDefault="00000000">
      <w:pPr>
        <w:jc w:val="both"/>
      </w:pPr>
      <w:r>
        <w:t>Error Analysis: The single misclassified patient was WhiteSutton_PT19, an individual with White-Sutton syndrome who presented with severe developmental delay and dental crowding, but lacked documented behavioral autism features. The predicted probability distribution indicated substantial uncertainty between KBG and White-Sutton for this case (KBG: 47.04%, White-Sutton: 46.51%, Xia-Gibbs: 6.45%), demonstrating that the model output reflected ambiguity rather than an overconfident error.</w:t>
      </w:r>
    </w:p>
    <w:p w14:paraId="03964DCF" w14:textId="77777777" w:rsidR="00434EFE" w:rsidRDefault="00000000">
      <w:pPr>
        <w:keepNext/>
        <w:spacing w:before="160" w:after="80"/>
        <w:jc w:val="center"/>
      </w:pPr>
      <w:r>
        <w:rPr>
          <w:noProof/>
        </w:rPr>
        <w:drawing>
          <wp:inline distT="0" distB="0" distL="0" distR="0" wp14:anchorId="535A87AD" wp14:editId="5313E0D2">
            <wp:extent cx="5029200" cy="3009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classification_performance.png"/>
                    <pic:cNvPicPr/>
                  </pic:nvPicPr>
                  <pic:blipFill>
                    <a:blip r:embed="rId11"/>
                    <a:stretch>
                      <a:fillRect/>
                    </a:stretch>
                  </pic:blipFill>
                  <pic:spPr>
                    <a:xfrm>
                      <a:off x="0" y="0"/>
                      <a:ext cx="5029200" cy="3009900"/>
                    </a:xfrm>
                    <a:prstGeom prst="rect">
                      <a:avLst/>
                    </a:prstGeom>
                  </pic:spPr>
                </pic:pic>
              </a:graphicData>
            </a:graphic>
          </wp:inline>
        </w:drawing>
      </w:r>
    </w:p>
    <w:p w14:paraId="3833B8CB" w14:textId="77777777" w:rsidR="00434EFE" w:rsidRDefault="00000000">
      <w:pPr>
        <w:spacing w:after="240"/>
        <w:jc w:val="center"/>
      </w:pPr>
      <w:r>
        <w:rPr>
          <w:i/>
          <w:color w:val="475569"/>
          <w:sz w:val="19"/>
        </w:rPr>
        <w:t>Figure 6. Multi-class classification performance on the held-out test set (N = 78). Accuracy: 98.72%, Balanced Accuracy: 96.30%, Macro Precision: 99.45%, Macro Recall: 96.30%, Macro Specificity: 98.15%, and Macro F1-Score: 97.76%.</w:t>
      </w:r>
    </w:p>
    <w:p w14:paraId="33451F3C" w14:textId="77777777" w:rsidR="00434EFE" w:rsidRDefault="00000000">
      <w:pPr>
        <w:keepNext/>
        <w:spacing w:before="240" w:after="80"/>
      </w:pPr>
      <w:r>
        <w:rPr>
          <w:b/>
          <w:color w:val="0D9488"/>
          <w:sz w:val="24"/>
        </w:rPr>
        <w:t>6.3 Cross-Validation vs. Source-Publication-Grouped Stress Validation</w:t>
      </w:r>
    </w:p>
    <w:p w14:paraId="7DCC1251" w14:textId="77777777" w:rsidR="00434EFE" w:rsidRDefault="00000000">
      <w:pPr>
        <w:jc w:val="both"/>
      </w:pPr>
      <w:r>
        <w:t>To evaluate model consistency across different cohort partitions, we conducted two cross-validation experiments:</w:t>
      </w:r>
    </w:p>
    <w:p w14:paraId="18E79F3F" w14:textId="77777777" w:rsidR="00434EFE" w:rsidRDefault="00000000">
      <w:pPr>
        <w:jc w:val="both"/>
      </w:pPr>
      <w:r>
        <w:t>1. Profile-Grouped 5-Fold Cross-Validation: Patients with identical profiles were retained within the same fold: Mean Accuracy of 97.14% ± 2.23% (Fold scores: 0.9740, 0.9351, 0.9870, 1.0000, 0.9610) and Mean Macro F1 of 94.89% ± 4.04% (Fold scores: 0.9572, 0.8851, 0.9776, 1.0000, 0.9246).</w:t>
      </w:r>
    </w:p>
    <w:p w14:paraId="08D4E412" w14:textId="77777777" w:rsidR="00434EFE" w:rsidRDefault="00000000">
      <w:pPr>
        <w:jc w:val="both"/>
      </w:pPr>
      <w:r>
        <w:t>2. Source-Publication-Grouped Stress Validation (GroupKFold by Source): Cross-validation was grouped strictly by primary source publication, withholding entire publications from training folds: Mean Accuracy of 79.62% ± 27.05% and Mean Macro F1 of 59.51% ± 26.81%.</w:t>
      </w:r>
    </w:p>
    <w:p w14:paraId="6A3E3225" w14:textId="77777777" w:rsidR="00434EFE" w:rsidRDefault="00000000">
      <w:pPr>
        <w:keepNext/>
        <w:spacing w:before="160" w:after="80"/>
        <w:jc w:val="center"/>
      </w:pPr>
      <w:r>
        <w:rPr>
          <w:noProof/>
        </w:rPr>
        <w:lastRenderedPageBreak/>
        <w:drawing>
          <wp:inline distT="0" distB="0" distL="0" distR="0" wp14:anchorId="3CA4C47C" wp14:editId="1812ADFA">
            <wp:extent cx="5029200" cy="32999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cross_validation_performance.png"/>
                    <pic:cNvPicPr/>
                  </pic:nvPicPr>
                  <pic:blipFill>
                    <a:blip r:embed="rId12"/>
                    <a:stretch>
                      <a:fillRect/>
                    </a:stretch>
                  </pic:blipFill>
                  <pic:spPr>
                    <a:xfrm>
                      <a:off x="0" y="0"/>
                      <a:ext cx="5029200" cy="3299944"/>
                    </a:xfrm>
                    <a:prstGeom prst="rect">
                      <a:avLst/>
                    </a:prstGeom>
                  </pic:spPr>
                </pic:pic>
              </a:graphicData>
            </a:graphic>
          </wp:inline>
        </w:drawing>
      </w:r>
    </w:p>
    <w:p w14:paraId="6F16AAB4" w14:textId="77777777" w:rsidR="00434EFE" w:rsidRDefault="00000000">
      <w:pPr>
        <w:spacing w:after="240"/>
        <w:jc w:val="center"/>
      </w:pPr>
      <w:r>
        <w:rPr>
          <w:i/>
          <w:color w:val="475569"/>
          <w:sz w:val="19"/>
        </w:rPr>
        <w:t>Figure 7. Comparison between profile-grouped 5-fold cross-validation and source-publication-grouped stress validation. Profile-grouped CV achieved 97.14% ± 2.23% accuracy, whereas source-publication-grouped stress validation dropped to 79.62% ± 27.05% accuracy, indicating that publication-specific reporting habits influence model transferability.</w:t>
      </w:r>
    </w:p>
    <w:p w14:paraId="539F9F7E" w14:textId="77777777" w:rsidR="00434EFE" w:rsidRDefault="00000000">
      <w:pPr>
        <w:jc w:val="both"/>
      </w:pPr>
      <w:r>
        <w:t>The source-publication-grouped stress validation suggests that performance may decrease when the model encounters phenotype distributions and reporting patterns from previously unseen publications.</w:t>
      </w:r>
    </w:p>
    <w:p w14:paraId="2DB69864" w14:textId="77777777" w:rsidR="00434EFE" w:rsidRDefault="00000000">
      <w:pPr>
        <w:keepNext/>
        <w:spacing w:before="240" w:after="80"/>
      </w:pPr>
      <w:r>
        <w:rPr>
          <w:b/>
          <w:color w:val="0D9488"/>
          <w:sz w:val="24"/>
        </w:rPr>
        <w:t>6.4 Model Interpretability with TreeSHAP</w:t>
      </w:r>
    </w:p>
    <w:p w14:paraId="5100F238" w14:textId="77777777" w:rsidR="00434EFE" w:rsidRDefault="00000000">
      <w:pPr>
        <w:jc w:val="both"/>
      </w:pPr>
      <w:r>
        <w:t>TreeSHAP analysis identified the standardized HPO features that most strongly influenced model decision boundaries. Table 6 lists the top 10 HPO features ranked by mean absolute SHAP value.</w:t>
      </w:r>
    </w:p>
    <w:p w14:paraId="2C592988" w14:textId="77777777" w:rsidR="00434EFE" w:rsidRDefault="00000000">
      <w:pPr>
        <w:keepNext/>
        <w:spacing w:before="200" w:after="80"/>
      </w:pPr>
      <w:r>
        <w:rPr>
          <w:b/>
          <w:color w:val="1E3A8A"/>
          <w:sz w:val="20"/>
        </w:rPr>
        <w:t>Table 6. Key HPO Features Associated with Model Decision Boundaries</w:t>
      </w:r>
    </w:p>
    <w:tbl>
      <w:tblPr>
        <w:tblW w:w="0" w:type="auto"/>
        <w:jc w:val="center"/>
        <w:tblLook w:val="04A0" w:firstRow="1" w:lastRow="0" w:firstColumn="1" w:lastColumn="0" w:noHBand="0" w:noVBand="1"/>
      </w:tblPr>
      <w:tblGrid>
        <w:gridCol w:w="776"/>
        <w:gridCol w:w="1318"/>
        <w:gridCol w:w="2126"/>
        <w:gridCol w:w="1699"/>
        <w:gridCol w:w="1360"/>
        <w:gridCol w:w="2297"/>
      </w:tblGrid>
      <w:tr w:rsidR="00434EFE" w14:paraId="6CE1FA3E" w14:textId="77777777">
        <w:trPr>
          <w:cantSplit/>
          <w:tblHeader/>
          <w:jc w:val="center"/>
        </w:trPr>
        <w:tc>
          <w:tcPr>
            <w:tcW w:w="864" w:type="dxa"/>
            <w:shd w:val="clear" w:color="auto" w:fill="1E3A8A"/>
          </w:tcPr>
          <w:p w14:paraId="739B226A" w14:textId="77777777" w:rsidR="00434EFE" w:rsidRDefault="00000000">
            <w:pPr>
              <w:spacing w:before="60" w:after="60"/>
              <w:jc w:val="center"/>
            </w:pPr>
            <w:r>
              <w:rPr>
                <w:b/>
                <w:color w:val="FFFFFF"/>
                <w:sz w:val="18"/>
              </w:rPr>
              <w:t>Rank</w:t>
            </w:r>
          </w:p>
        </w:tc>
        <w:tc>
          <w:tcPr>
            <w:tcW w:w="1440" w:type="dxa"/>
            <w:shd w:val="clear" w:color="auto" w:fill="1E3A8A"/>
          </w:tcPr>
          <w:p w14:paraId="21843ECF" w14:textId="77777777" w:rsidR="00434EFE" w:rsidRDefault="00000000">
            <w:pPr>
              <w:spacing w:before="60" w:after="60"/>
              <w:jc w:val="center"/>
            </w:pPr>
            <w:r>
              <w:rPr>
                <w:b/>
                <w:color w:val="FFFFFF"/>
                <w:sz w:val="18"/>
              </w:rPr>
              <w:t>HPO ID</w:t>
            </w:r>
          </w:p>
        </w:tc>
        <w:tc>
          <w:tcPr>
            <w:tcW w:w="2592" w:type="dxa"/>
            <w:shd w:val="clear" w:color="auto" w:fill="1E3A8A"/>
          </w:tcPr>
          <w:p w14:paraId="696A603E" w14:textId="77777777" w:rsidR="00434EFE" w:rsidRDefault="00000000">
            <w:pPr>
              <w:spacing w:before="60" w:after="60"/>
              <w:jc w:val="center"/>
            </w:pPr>
            <w:r>
              <w:rPr>
                <w:b/>
                <w:color w:val="FFFFFF"/>
                <w:sz w:val="18"/>
              </w:rPr>
              <w:t>Canonical Phenotype Name</w:t>
            </w:r>
          </w:p>
        </w:tc>
        <w:tc>
          <w:tcPr>
            <w:tcW w:w="2016" w:type="dxa"/>
            <w:shd w:val="clear" w:color="auto" w:fill="1E3A8A"/>
          </w:tcPr>
          <w:p w14:paraId="30FB0A95" w14:textId="77777777" w:rsidR="00434EFE" w:rsidRDefault="00000000">
            <w:pPr>
              <w:spacing w:before="60" w:after="60"/>
              <w:jc w:val="center"/>
            </w:pPr>
            <w:r>
              <w:rPr>
                <w:b/>
                <w:color w:val="FFFFFF"/>
                <w:sz w:val="18"/>
              </w:rPr>
              <w:t>Associated Syndrome</w:t>
            </w:r>
          </w:p>
        </w:tc>
        <w:tc>
          <w:tcPr>
            <w:tcW w:w="1584" w:type="dxa"/>
            <w:shd w:val="clear" w:color="auto" w:fill="1E3A8A"/>
          </w:tcPr>
          <w:p w14:paraId="29D1CABA" w14:textId="77777777" w:rsidR="00434EFE" w:rsidRDefault="00000000">
            <w:pPr>
              <w:spacing w:before="60" w:after="60"/>
              <w:jc w:val="center"/>
            </w:pPr>
            <w:r>
              <w:rPr>
                <w:b/>
                <w:color w:val="FFFFFF"/>
                <w:sz w:val="18"/>
              </w:rPr>
              <w:t>Mean Absolute SHAP</w:t>
            </w:r>
          </w:p>
        </w:tc>
        <w:tc>
          <w:tcPr>
            <w:tcW w:w="2592" w:type="dxa"/>
            <w:shd w:val="clear" w:color="auto" w:fill="1E3A8A"/>
          </w:tcPr>
          <w:p w14:paraId="705AF7D1" w14:textId="77777777" w:rsidR="00434EFE" w:rsidRDefault="00000000">
            <w:pPr>
              <w:spacing w:before="60" w:after="60"/>
              <w:jc w:val="center"/>
            </w:pPr>
            <w:r>
              <w:rPr>
                <w:b/>
                <w:color w:val="FFFFFF"/>
                <w:sz w:val="18"/>
              </w:rPr>
              <w:t>Clinical Context (Literature Background)</w:t>
            </w:r>
          </w:p>
        </w:tc>
      </w:tr>
      <w:tr w:rsidR="00434EFE" w14:paraId="44153A8D" w14:textId="77777777">
        <w:trPr>
          <w:cantSplit/>
          <w:jc w:val="center"/>
        </w:trPr>
        <w:tc>
          <w:tcPr>
            <w:tcW w:w="864" w:type="dxa"/>
            <w:shd w:val="clear" w:color="auto" w:fill="FFFFFF"/>
          </w:tcPr>
          <w:p w14:paraId="344A1D54" w14:textId="77777777" w:rsidR="00434EFE" w:rsidRDefault="00000000">
            <w:pPr>
              <w:spacing w:before="40" w:after="40"/>
            </w:pPr>
            <w:r>
              <w:rPr>
                <w:sz w:val="17"/>
              </w:rPr>
              <w:t>1</w:t>
            </w:r>
          </w:p>
        </w:tc>
        <w:tc>
          <w:tcPr>
            <w:tcW w:w="1440" w:type="dxa"/>
            <w:shd w:val="clear" w:color="auto" w:fill="FFFFFF"/>
          </w:tcPr>
          <w:p w14:paraId="1A53DC49" w14:textId="77777777" w:rsidR="00434EFE" w:rsidRDefault="00000000">
            <w:pPr>
              <w:spacing w:before="40" w:after="40"/>
              <w:jc w:val="center"/>
            </w:pPr>
            <w:r>
              <w:rPr>
                <w:sz w:val="17"/>
              </w:rPr>
              <w:t>HP:0000219</w:t>
            </w:r>
          </w:p>
        </w:tc>
        <w:tc>
          <w:tcPr>
            <w:tcW w:w="2592" w:type="dxa"/>
            <w:shd w:val="clear" w:color="auto" w:fill="FFFFFF"/>
          </w:tcPr>
          <w:p w14:paraId="1E369BE9" w14:textId="77777777" w:rsidR="00434EFE" w:rsidRDefault="00000000">
            <w:pPr>
              <w:spacing w:before="40" w:after="40"/>
              <w:jc w:val="center"/>
            </w:pPr>
            <w:r>
              <w:rPr>
                <w:sz w:val="17"/>
              </w:rPr>
              <w:t>Thin upper lip vermilion</w:t>
            </w:r>
          </w:p>
        </w:tc>
        <w:tc>
          <w:tcPr>
            <w:tcW w:w="2016" w:type="dxa"/>
            <w:shd w:val="clear" w:color="auto" w:fill="FFFFFF"/>
          </w:tcPr>
          <w:p w14:paraId="300806BF" w14:textId="77777777" w:rsidR="00434EFE" w:rsidRDefault="00000000">
            <w:pPr>
              <w:spacing w:before="40" w:after="40"/>
              <w:jc w:val="center"/>
            </w:pPr>
            <w:r>
              <w:rPr>
                <w:sz w:val="17"/>
              </w:rPr>
              <w:t>Xia-Gibbs / KBG</w:t>
            </w:r>
          </w:p>
        </w:tc>
        <w:tc>
          <w:tcPr>
            <w:tcW w:w="1584" w:type="dxa"/>
            <w:shd w:val="clear" w:color="auto" w:fill="FFFFFF"/>
          </w:tcPr>
          <w:p w14:paraId="3EF7A3B4" w14:textId="77777777" w:rsidR="00434EFE" w:rsidRDefault="00000000">
            <w:pPr>
              <w:spacing w:before="40" w:after="40"/>
              <w:jc w:val="center"/>
            </w:pPr>
            <w:r>
              <w:rPr>
                <w:sz w:val="17"/>
              </w:rPr>
              <w:t>0.0614</w:t>
            </w:r>
          </w:p>
        </w:tc>
        <w:tc>
          <w:tcPr>
            <w:tcW w:w="2592" w:type="dxa"/>
            <w:shd w:val="clear" w:color="auto" w:fill="FFFFFF"/>
          </w:tcPr>
          <w:p w14:paraId="3D5013D2" w14:textId="77777777" w:rsidR="00434EFE" w:rsidRDefault="00000000">
            <w:pPr>
              <w:spacing w:before="40" w:after="40"/>
              <w:jc w:val="center"/>
            </w:pPr>
            <w:r>
              <w:rPr>
                <w:sz w:val="17"/>
              </w:rPr>
              <w:t>Facial feature frequently described in Xia-Gibbs syndrome</w:t>
            </w:r>
          </w:p>
        </w:tc>
      </w:tr>
      <w:tr w:rsidR="00434EFE" w14:paraId="67F8E1A6" w14:textId="77777777">
        <w:trPr>
          <w:cantSplit/>
          <w:jc w:val="center"/>
        </w:trPr>
        <w:tc>
          <w:tcPr>
            <w:tcW w:w="864" w:type="dxa"/>
            <w:shd w:val="clear" w:color="auto" w:fill="F8FAFC"/>
          </w:tcPr>
          <w:p w14:paraId="7D741633" w14:textId="77777777" w:rsidR="00434EFE" w:rsidRDefault="00000000">
            <w:pPr>
              <w:spacing w:before="40" w:after="40"/>
            </w:pPr>
            <w:r>
              <w:rPr>
                <w:sz w:val="17"/>
              </w:rPr>
              <w:t>2</w:t>
            </w:r>
          </w:p>
        </w:tc>
        <w:tc>
          <w:tcPr>
            <w:tcW w:w="1440" w:type="dxa"/>
            <w:shd w:val="clear" w:color="auto" w:fill="F8FAFC"/>
          </w:tcPr>
          <w:p w14:paraId="6984A0B4" w14:textId="77777777" w:rsidR="00434EFE" w:rsidRDefault="00000000">
            <w:pPr>
              <w:spacing w:before="40" w:after="40"/>
              <w:jc w:val="center"/>
            </w:pPr>
            <w:r>
              <w:rPr>
                <w:sz w:val="17"/>
              </w:rPr>
              <w:t>HP:0001155</w:t>
            </w:r>
          </w:p>
        </w:tc>
        <w:tc>
          <w:tcPr>
            <w:tcW w:w="2592" w:type="dxa"/>
            <w:shd w:val="clear" w:color="auto" w:fill="F8FAFC"/>
          </w:tcPr>
          <w:p w14:paraId="20161519" w14:textId="77777777" w:rsidR="00434EFE" w:rsidRDefault="00000000">
            <w:pPr>
              <w:spacing w:before="40" w:after="40"/>
              <w:jc w:val="center"/>
            </w:pPr>
            <w:r>
              <w:rPr>
                <w:sz w:val="17"/>
              </w:rPr>
              <w:t>Abnormality of the hand</w:t>
            </w:r>
          </w:p>
        </w:tc>
        <w:tc>
          <w:tcPr>
            <w:tcW w:w="2016" w:type="dxa"/>
            <w:shd w:val="clear" w:color="auto" w:fill="F8FAFC"/>
          </w:tcPr>
          <w:p w14:paraId="0A3435A7" w14:textId="77777777" w:rsidR="00434EFE" w:rsidRDefault="00000000">
            <w:pPr>
              <w:spacing w:before="40" w:after="40"/>
              <w:jc w:val="center"/>
            </w:pPr>
            <w:r>
              <w:rPr>
                <w:sz w:val="17"/>
              </w:rPr>
              <w:t>KBG Syndrome</w:t>
            </w:r>
          </w:p>
        </w:tc>
        <w:tc>
          <w:tcPr>
            <w:tcW w:w="1584" w:type="dxa"/>
            <w:shd w:val="clear" w:color="auto" w:fill="F8FAFC"/>
          </w:tcPr>
          <w:p w14:paraId="0FFB0BC8" w14:textId="77777777" w:rsidR="00434EFE" w:rsidRDefault="00000000">
            <w:pPr>
              <w:spacing w:before="40" w:after="40"/>
              <w:jc w:val="center"/>
            </w:pPr>
            <w:r>
              <w:rPr>
                <w:sz w:val="17"/>
              </w:rPr>
              <w:t>0.0472</w:t>
            </w:r>
          </w:p>
        </w:tc>
        <w:tc>
          <w:tcPr>
            <w:tcW w:w="2592" w:type="dxa"/>
            <w:shd w:val="clear" w:color="auto" w:fill="F8FAFC"/>
          </w:tcPr>
          <w:p w14:paraId="2CFFAF68" w14:textId="77777777" w:rsidR="00434EFE" w:rsidRDefault="00000000">
            <w:pPr>
              <w:spacing w:before="40" w:after="40"/>
              <w:jc w:val="center"/>
            </w:pPr>
            <w:r>
              <w:rPr>
                <w:sz w:val="17"/>
              </w:rPr>
              <w:t>Characteristic brachydactyly and clinodactyly</w:t>
            </w:r>
          </w:p>
        </w:tc>
      </w:tr>
      <w:tr w:rsidR="00434EFE" w14:paraId="7CBB3F48" w14:textId="77777777">
        <w:trPr>
          <w:cantSplit/>
          <w:jc w:val="center"/>
        </w:trPr>
        <w:tc>
          <w:tcPr>
            <w:tcW w:w="864" w:type="dxa"/>
            <w:shd w:val="clear" w:color="auto" w:fill="FFFFFF"/>
          </w:tcPr>
          <w:p w14:paraId="51F59856" w14:textId="77777777" w:rsidR="00434EFE" w:rsidRDefault="00000000">
            <w:pPr>
              <w:spacing w:before="40" w:after="40"/>
            </w:pPr>
            <w:r>
              <w:rPr>
                <w:sz w:val="17"/>
              </w:rPr>
              <w:t>3</w:t>
            </w:r>
          </w:p>
        </w:tc>
        <w:tc>
          <w:tcPr>
            <w:tcW w:w="1440" w:type="dxa"/>
            <w:shd w:val="clear" w:color="auto" w:fill="FFFFFF"/>
          </w:tcPr>
          <w:p w14:paraId="55E1FED2" w14:textId="77777777" w:rsidR="00434EFE" w:rsidRDefault="00000000">
            <w:pPr>
              <w:spacing w:before="40" w:after="40"/>
              <w:jc w:val="center"/>
            </w:pPr>
            <w:r>
              <w:rPr>
                <w:sz w:val="17"/>
              </w:rPr>
              <w:t>HP:0001252</w:t>
            </w:r>
          </w:p>
        </w:tc>
        <w:tc>
          <w:tcPr>
            <w:tcW w:w="2592" w:type="dxa"/>
            <w:shd w:val="clear" w:color="auto" w:fill="FFFFFF"/>
          </w:tcPr>
          <w:p w14:paraId="59F9A77D" w14:textId="77777777" w:rsidR="00434EFE" w:rsidRDefault="00000000">
            <w:pPr>
              <w:spacing w:before="40" w:after="40"/>
              <w:jc w:val="center"/>
            </w:pPr>
            <w:r>
              <w:rPr>
                <w:sz w:val="17"/>
              </w:rPr>
              <w:t>Muscular hypotonia</w:t>
            </w:r>
          </w:p>
        </w:tc>
        <w:tc>
          <w:tcPr>
            <w:tcW w:w="2016" w:type="dxa"/>
            <w:shd w:val="clear" w:color="auto" w:fill="FFFFFF"/>
          </w:tcPr>
          <w:p w14:paraId="599B4126" w14:textId="77777777" w:rsidR="00434EFE" w:rsidRDefault="00000000">
            <w:pPr>
              <w:spacing w:before="40" w:after="40"/>
              <w:jc w:val="center"/>
            </w:pPr>
            <w:r>
              <w:rPr>
                <w:sz w:val="17"/>
              </w:rPr>
              <w:t>Xia-Gibbs / KBG</w:t>
            </w:r>
          </w:p>
        </w:tc>
        <w:tc>
          <w:tcPr>
            <w:tcW w:w="1584" w:type="dxa"/>
            <w:shd w:val="clear" w:color="auto" w:fill="FFFFFF"/>
          </w:tcPr>
          <w:p w14:paraId="341F275F" w14:textId="77777777" w:rsidR="00434EFE" w:rsidRDefault="00000000">
            <w:pPr>
              <w:spacing w:before="40" w:after="40"/>
              <w:jc w:val="center"/>
            </w:pPr>
            <w:r>
              <w:rPr>
                <w:sz w:val="17"/>
              </w:rPr>
              <w:t>0.0470</w:t>
            </w:r>
          </w:p>
        </w:tc>
        <w:tc>
          <w:tcPr>
            <w:tcW w:w="2592" w:type="dxa"/>
            <w:shd w:val="clear" w:color="auto" w:fill="FFFFFF"/>
          </w:tcPr>
          <w:p w14:paraId="2A3635D0" w14:textId="77777777" w:rsidR="00434EFE" w:rsidRDefault="00000000">
            <w:pPr>
              <w:spacing w:before="40" w:after="40"/>
              <w:jc w:val="center"/>
            </w:pPr>
            <w:r>
              <w:rPr>
                <w:sz w:val="17"/>
              </w:rPr>
              <w:t>Low muscle tone prominent in AHDC1 mutations</w:t>
            </w:r>
          </w:p>
        </w:tc>
      </w:tr>
      <w:tr w:rsidR="00434EFE" w14:paraId="001BD412" w14:textId="77777777">
        <w:trPr>
          <w:cantSplit/>
          <w:jc w:val="center"/>
        </w:trPr>
        <w:tc>
          <w:tcPr>
            <w:tcW w:w="864" w:type="dxa"/>
            <w:shd w:val="clear" w:color="auto" w:fill="F8FAFC"/>
          </w:tcPr>
          <w:p w14:paraId="36779B60" w14:textId="77777777" w:rsidR="00434EFE" w:rsidRDefault="00000000">
            <w:pPr>
              <w:spacing w:before="40" w:after="40"/>
            </w:pPr>
            <w:r>
              <w:rPr>
                <w:sz w:val="17"/>
              </w:rPr>
              <w:t>4</w:t>
            </w:r>
          </w:p>
        </w:tc>
        <w:tc>
          <w:tcPr>
            <w:tcW w:w="1440" w:type="dxa"/>
            <w:shd w:val="clear" w:color="auto" w:fill="F8FAFC"/>
          </w:tcPr>
          <w:p w14:paraId="25909335" w14:textId="77777777" w:rsidR="00434EFE" w:rsidRDefault="00000000">
            <w:pPr>
              <w:spacing w:before="40" w:after="40"/>
              <w:jc w:val="center"/>
            </w:pPr>
            <w:r>
              <w:rPr>
                <w:sz w:val="17"/>
              </w:rPr>
              <w:t>HP:0000337</w:t>
            </w:r>
          </w:p>
        </w:tc>
        <w:tc>
          <w:tcPr>
            <w:tcW w:w="2592" w:type="dxa"/>
            <w:shd w:val="clear" w:color="auto" w:fill="F8FAFC"/>
          </w:tcPr>
          <w:p w14:paraId="366C3038" w14:textId="77777777" w:rsidR="00434EFE" w:rsidRDefault="00000000">
            <w:pPr>
              <w:spacing w:before="40" w:after="40"/>
              <w:jc w:val="center"/>
            </w:pPr>
            <w:r>
              <w:rPr>
                <w:sz w:val="17"/>
              </w:rPr>
              <w:t>Broad forehead</w:t>
            </w:r>
          </w:p>
        </w:tc>
        <w:tc>
          <w:tcPr>
            <w:tcW w:w="2016" w:type="dxa"/>
            <w:shd w:val="clear" w:color="auto" w:fill="F8FAFC"/>
          </w:tcPr>
          <w:p w14:paraId="6F82B79F" w14:textId="77777777" w:rsidR="00434EFE" w:rsidRDefault="00000000">
            <w:pPr>
              <w:spacing w:before="40" w:after="40"/>
              <w:jc w:val="center"/>
            </w:pPr>
            <w:r>
              <w:rPr>
                <w:sz w:val="17"/>
              </w:rPr>
              <w:t>Xia-Gibbs Syndrome</w:t>
            </w:r>
          </w:p>
        </w:tc>
        <w:tc>
          <w:tcPr>
            <w:tcW w:w="1584" w:type="dxa"/>
            <w:shd w:val="clear" w:color="auto" w:fill="F8FAFC"/>
          </w:tcPr>
          <w:p w14:paraId="04CB4274" w14:textId="77777777" w:rsidR="00434EFE" w:rsidRDefault="00000000">
            <w:pPr>
              <w:spacing w:before="40" w:after="40"/>
              <w:jc w:val="center"/>
            </w:pPr>
            <w:r>
              <w:rPr>
                <w:sz w:val="17"/>
              </w:rPr>
              <w:t>0.0440</w:t>
            </w:r>
          </w:p>
        </w:tc>
        <w:tc>
          <w:tcPr>
            <w:tcW w:w="2592" w:type="dxa"/>
            <w:shd w:val="clear" w:color="auto" w:fill="F8FAFC"/>
          </w:tcPr>
          <w:p w14:paraId="04C12101" w14:textId="77777777" w:rsidR="00434EFE" w:rsidRDefault="00000000">
            <w:pPr>
              <w:spacing w:before="40" w:after="40"/>
              <w:jc w:val="center"/>
            </w:pPr>
            <w:r>
              <w:rPr>
                <w:sz w:val="17"/>
              </w:rPr>
              <w:t>Craniofacial feature associated with Xia-Gibbs</w:t>
            </w:r>
          </w:p>
        </w:tc>
      </w:tr>
      <w:tr w:rsidR="00434EFE" w14:paraId="6D62AEBC" w14:textId="77777777">
        <w:trPr>
          <w:cantSplit/>
          <w:jc w:val="center"/>
        </w:trPr>
        <w:tc>
          <w:tcPr>
            <w:tcW w:w="864" w:type="dxa"/>
            <w:shd w:val="clear" w:color="auto" w:fill="FFFFFF"/>
          </w:tcPr>
          <w:p w14:paraId="46A36C90" w14:textId="77777777" w:rsidR="00434EFE" w:rsidRDefault="00000000">
            <w:pPr>
              <w:spacing w:before="40" w:after="40"/>
            </w:pPr>
            <w:r>
              <w:rPr>
                <w:sz w:val="17"/>
              </w:rPr>
              <w:t>5</w:t>
            </w:r>
          </w:p>
        </w:tc>
        <w:tc>
          <w:tcPr>
            <w:tcW w:w="1440" w:type="dxa"/>
            <w:shd w:val="clear" w:color="auto" w:fill="FFFFFF"/>
          </w:tcPr>
          <w:p w14:paraId="0688A8BC" w14:textId="77777777" w:rsidR="00434EFE" w:rsidRDefault="00000000">
            <w:pPr>
              <w:spacing w:before="40" w:after="40"/>
              <w:jc w:val="center"/>
            </w:pPr>
            <w:r>
              <w:rPr>
                <w:sz w:val="17"/>
              </w:rPr>
              <w:t>HP:0001572</w:t>
            </w:r>
          </w:p>
        </w:tc>
        <w:tc>
          <w:tcPr>
            <w:tcW w:w="2592" w:type="dxa"/>
            <w:shd w:val="clear" w:color="auto" w:fill="FFFFFF"/>
          </w:tcPr>
          <w:p w14:paraId="43BDDCAF" w14:textId="77777777" w:rsidR="00434EFE" w:rsidRDefault="00000000">
            <w:pPr>
              <w:spacing w:before="40" w:after="40"/>
              <w:jc w:val="center"/>
            </w:pPr>
            <w:r>
              <w:rPr>
                <w:sz w:val="17"/>
              </w:rPr>
              <w:t>Macrodontia of central incisors</w:t>
            </w:r>
          </w:p>
        </w:tc>
        <w:tc>
          <w:tcPr>
            <w:tcW w:w="2016" w:type="dxa"/>
            <w:shd w:val="clear" w:color="auto" w:fill="FFFFFF"/>
          </w:tcPr>
          <w:p w14:paraId="65C7FBBD" w14:textId="77777777" w:rsidR="00434EFE" w:rsidRDefault="00000000">
            <w:pPr>
              <w:spacing w:before="40" w:after="40"/>
              <w:jc w:val="center"/>
            </w:pPr>
            <w:r>
              <w:rPr>
                <w:sz w:val="17"/>
              </w:rPr>
              <w:t>KBG Syndrome</w:t>
            </w:r>
          </w:p>
        </w:tc>
        <w:tc>
          <w:tcPr>
            <w:tcW w:w="1584" w:type="dxa"/>
            <w:shd w:val="clear" w:color="auto" w:fill="FFFFFF"/>
          </w:tcPr>
          <w:p w14:paraId="44117D84" w14:textId="77777777" w:rsidR="00434EFE" w:rsidRDefault="00000000">
            <w:pPr>
              <w:spacing w:before="40" w:after="40"/>
              <w:jc w:val="center"/>
            </w:pPr>
            <w:r>
              <w:rPr>
                <w:sz w:val="17"/>
              </w:rPr>
              <w:t>0.0435</w:t>
            </w:r>
          </w:p>
        </w:tc>
        <w:tc>
          <w:tcPr>
            <w:tcW w:w="2592" w:type="dxa"/>
            <w:shd w:val="clear" w:color="auto" w:fill="FFFFFF"/>
          </w:tcPr>
          <w:p w14:paraId="6E091475" w14:textId="77777777" w:rsidR="00434EFE" w:rsidRDefault="00000000">
            <w:pPr>
              <w:spacing w:before="40" w:after="40"/>
              <w:jc w:val="center"/>
            </w:pPr>
            <w:r>
              <w:rPr>
                <w:sz w:val="17"/>
              </w:rPr>
              <w:t>Known cardinal clinical sign of KBG syndrome (ANKRD11)</w:t>
            </w:r>
          </w:p>
        </w:tc>
      </w:tr>
      <w:tr w:rsidR="00434EFE" w14:paraId="29547C72" w14:textId="77777777">
        <w:trPr>
          <w:cantSplit/>
          <w:jc w:val="center"/>
        </w:trPr>
        <w:tc>
          <w:tcPr>
            <w:tcW w:w="864" w:type="dxa"/>
            <w:shd w:val="clear" w:color="auto" w:fill="F8FAFC"/>
          </w:tcPr>
          <w:p w14:paraId="7DD6413A" w14:textId="77777777" w:rsidR="00434EFE" w:rsidRDefault="00000000">
            <w:pPr>
              <w:spacing w:before="40" w:after="40"/>
            </w:pPr>
            <w:r>
              <w:rPr>
                <w:sz w:val="17"/>
              </w:rPr>
              <w:lastRenderedPageBreak/>
              <w:t>6</w:t>
            </w:r>
          </w:p>
        </w:tc>
        <w:tc>
          <w:tcPr>
            <w:tcW w:w="1440" w:type="dxa"/>
            <w:shd w:val="clear" w:color="auto" w:fill="F8FAFC"/>
          </w:tcPr>
          <w:p w14:paraId="1F9153AB" w14:textId="77777777" w:rsidR="00434EFE" w:rsidRDefault="00000000">
            <w:pPr>
              <w:spacing w:before="40" w:after="40"/>
              <w:jc w:val="center"/>
            </w:pPr>
            <w:r>
              <w:rPr>
                <w:sz w:val="17"/>
              </w:rPr>
              <w:t>HP:0000717</w:t>
            </w:r>
          </w:p>
        </w:tc>
        <w:tc>
          <w:tcPr>
            <w:tcW w:w="2592" w:type="dxa"/>
            <w:shd w:val="clear" w:color="auto" w:fill="F8FAFC"/>
          </w:tcPr>
          <w:p w14:paraId="25439BDE" w14:textId="77777777" w:rsidR="00434EFE" w:rsidRDefault="00000000">
            <w:pPr>
              <w:spacing w:before="40" w:after="40"/>
              <w:jc w:val="center"/>
            </w:pPr>
            <w:r>
              <w:rPr>
                <w:sz w:val="17"/>
              </w:rPr>
              <w:t>Autism spectrum disorder</w:t>
            </w:r>
          </w:p>
        </w:tc>
        <w:tc>
          <w:tcPr>
            <w:tcW w:w="2016" w:type="dxa"/>
            <w:shd w:val="clear" w:color="auto" w:fill="F8FAFC"/>
          </w:tcPr>
          <w:p w14:paraId="2DBF57D6" w14:textId="77777777" w:rsidR="00434EFE" w:rsidRDefault="00000000">
            <w:pPr>
              <w:spacing w:before="40" w:after="40"/>
              <w:jc w:val="center"/>
            </w:pPr>
            <w:r>
              <w:rPr>
                <w:sz w:val="17"/>
              </w:rPr>
              <w:t>White-Sutton Syndrome</w:t>
            </w:r>
          </w:p>
        </w:tc>
        <w:tc>
          <w:tcPr>
            <w:tcW w:w="1584" w:type="dxa"/>
            <w:shd w:val="clear" w:color="auto" w:fill="F8FAFC"/>
          </w:tcPr>
          <w:p w14:paraId="20996B76" w14:textId="77777777" w:rsidR="00434EFE" w:rsidRDefault="00000000">
            <w:pPr>
              <w:spacing w:before="40" w:after="40"/>
              <w:jc w:val="center"/>
            </w:pPr>
            <w:r>
              <w:rPr>
                <w:sz w:val="17"/>
              </w:rPr>
              <w:t>0.0408</w:t>
            </w:r>
          </w:p>
        </w:tc>
        <w:tc>
          <w:tcPr>
            <w:tcW w:w="2592" w:type="dxa"/>
            <w:shd w:val="clear" w:color="auto" w:fill="F8FAFC"/>
          </w:tcPr>
          <w:p w14:paraId="38BC429E" w14:textId="77777777" w:rsidR="00434EFE" w:rsidRDefault="00000000">
            <w:pPr>
              <w:spacing w:before="40" w:after="40"/>
              <w:jc w:val="center"/>
            </w:pPr>
            <w:r>
              <w:rPr>
                <w:sz w:val="17"/>
              </w:rPr>
              <w:t>Behavioral phenotype reported in POGZ variants</w:t>
            </w:r>
          </w:p>
        </w:tc>
      </w:tr>
      <w:tr w:rsidR="00434EFE" w14:paraId="71555F54" w14:textId="77777777">
        <w:trPr>
          <w:cantSplit/>
          <w:jc w:val="center"/>
        </w:trPr>
        <w:tc>
          <w:tcPr>
            <w:tcW w:w="864" w:type="dxa"/>
            <w:shd w:val="clear" w:color="auto" w:fill="FFFFFF"/>
          </w:tcPr>
          <w:p w14:paraId="2936DB1C" w14:textId="77777777" w:rsidR="00434EFE" w:rsidRDefault="00000000">
            <w:pPr>
              <w:spacing w:before="40" w:after="40"/>
            </w:pPr>
            <w:r>
              <w:rPr>
                <w:sz w:val="17"/>
              </w:rPr>
              <w:t>7</w:t>
            </w:r>
          </w:p>
        </w:tc>
        <w:tc>
          <w:tcPr>
            <w:tcW w:w="1440" w:type="dxa"/>
            <w:shd w:val="clear" w:color="auto" w:fill="FFFFFF"/>
          </w:tcPr>
          <w:p w14:paraId="388095C4" w14:textId="77777777" w:rsidR="00434EFE" w:rsidRDefault="00000000">
            <w:pPr>
              <w:spacing w:before="40" w:after="40"/>
              <w:jc w:val="center"/>
            </w:pPr>
            <w:r>
              <w:rPr>
                <w:sz w:val="17"/>
              </w:rPr>
              <w:t>HP:0001270</w:t>
            </w:r>
          </w:p>
        </w:tc>
        <w:tc>
          <w:tcPr>
            <w:tcW w:w="2592" w:type="dxa"/>
            <w:shd w:val="clear" w:color="auto" w:fill="FFFFFF"/>
          </w:tcPr>
          <w:p w14:paraId="37FE5CD1" w14:textId="77777777" w:rsidR="00434EFE" w:rsidRDefault="00000000">
            <w:pPr>
              <w:spacing w:before="40" w:after="40"/>
              <w:jc w:val="center"/>
            </w:pPr>
            <w:r>
              <w:rPr>
                <w:sz w:val="17"/>
              </w:rPr>
              <w:t>Motor delay</w:t>
            </w:r>
          </w:p>
        </w:tc>
        <w:tc>
          <w:tcPr>
            <w:tcW w:w="2016" w:type="dxa"/>
            <w:shd w:val="clear" w:color="auto" w:fill="FFFFFF"/>
          </w:tcPr>
          <w:p w14:paraId="343B84E2" w14:textId="77777777" w:rsidR="00434EFE" w:rsidRDefault="00000000">
            <w:pPr>
              <w:spacing w:before="40" w:after="40"/>
              <w:jc w:val="center"/>
            </w:pPr>
            <w:r>
              <w:rPr>
                <w:sz w:val="17"/>
              </w:rPr>
              <w:t>White-Sutton Syndrome</w:t>
            </w:r>
          </w:p>
        </w:tc>
        <w:tc>
          <w:tcPr>
            <w:tcW w:w="1584" w:type="dxa"/>
            <w:shd w:val="clear" w:color="auto" w:fill="FFFFFF"/>
          </w:tcPr>
          <w:p w14:paraId="6A65AC76" w14:textId="77777777" w:rsidR="00434EFE" w:rsidRDefault="00000000">
            <w:pPr>
              <w:spacing w:before="40" w:after="40"/>
              <w:jc w:val="center"/>
            </w:pPr>
            <w:r>
              <w:rPr>
                <w:sz w:val="17"/>
              </w:rPr>
              <w:t>0.0308</w:t>
            </w:r>
          </w:p>
        </w:tc>
        <w:tc>
          <w:tcPr>
            <w:tcW w:w="2592" w:type="dxa"/>
            <w:shd w:val="clear" w:color="auto" w:fill="FFFFFF"/>
          </w:tcPr>
          <w:p w14:paraId="59962D51" w14:textId="77777777" w:rsidR="00434EFE" w:rsidRDefault="00000000">
            <w:pPr>
              <w:spacing w:before="40" w:after="40"/>
              <w:jc w:val="center"/>
            </w:pPr>
            <w:r>
              <w:rPr>
                <w:sz w:val="17"/>
              </w:rPr>
              <w:t>Early developmental milestone delay</w:t>
            </w:r>
          </w:p>
        </w:tc>
      </w:tr>
      <w:tr w:rsidR="00434EFE" w14:paraId="4AFF12F4" w14:textId="77777777">
        <w:trPr>
          <w:cantSplit/>
          <w:jc w:val="center"/>
        </w:trPr>
        <w:tc>
          <w:tcPr>
            <w:tcW w:w="864" w:type="dxa"/>
            <w:shd w:val="clear" w:color="auto" w:fill="F8FAFC"/>
          </w:tcPr>
          <w:p w14:paraId="733710B9" w14:textId="77777777" w:rsidR="00434EFE" w:rsidRDefault="00000000">
            <w:pPr>
              <w:spacing w:before="40" w:after="40"/>
            </w:pPr>
            <w:r>
              <w:rPr>
                <w:sz w:val="17"/>
              </w:rPr>
              <w:t>8</w:t>
            </w:r>
          </w:p>
        </w:tc>
        <w:tc>
          <w:tcPr>
            <w:tcW w:w="1440" w:type="dxa"/>
            <w:shd w:val="clear" w:color="auto" w:fill="F8FAFC"/>
          </w:tcPr>
          <w:p w14:paraId="2289891D" w14:textId="77777777" w:rsidR="00434EFE" w:rsidRDefault="00000000">
            <w:pPr>
              <w:spacing w:before="40" w:after="40"/>
              <w:jc w:val="center"/>
            </w:pPr>
            <w:r>
              <w:rPr>
                <w:sz w:val="17"/>
              </w:rPr>
              <w:t>HP:0001328</w:t>
            </w:r>
          </w:p>
        </w:tc>
        <w:tc>
          <w:tcPr>
            <w:tcW w:w="2592" w:type="dxa"/>
            <w:shd w:val="clear" w:color="auto" w:fill="F8FAFC"/>
          </w:tcPr>
          <w:p w14:paraId="115DD369" w14:textId="77777777" w:rsidR="00434EFE" w:rsidRDefault="00000000">
            <w:pPr>
              <w:spacing w:before="40" w:after="40"/>
              <w:jc w:val="center"/>
            </w:pPr>
            <w:r>
              <w:rPr>
                <w:sz w:val="17"/>
              </w:rPr>
              <w:t>Specific learning disability</w:t>
            </w:r>
          </w:p>
        </w:tc>
        <w:tc>
          <w:tcPr>
            <w:tcW w:w="2016" w:type="dxa"/>
            <w:shd w:val="clear" w:color="auto" w:fill="F8FAFC"/>
          </w:tcPr>
          <w:p w14:paraId="57842D9F" w14:textId="77777777" w:rsidR="00434EFE" w:rsidRDefault="00000000">
            <w:pPr>
              <w:spacing w:before="40" w:after="40"/>
              <w:jc w:val="center"/>
            </w:pPr>
            <w:r>
              <w:rPr>
                <w:sz w:val="17"/>
              </w:rPr>
              <w:t>White-Sutton / KBG</w:t>
            </w:r>
          </w:p>
        </w:tc>
        <w:tc>
          <w:tcPr>
            <w:tcW w:w="1584" w:type="dxa"/>
            <w:shd w:val="clear" w:color="auto" w:fill="F8FAFC"/>
          </w:tcPr>
          <w:p w14:paraId="04D71BBC" w14:textId="77777777" w:rsidR="00434EFE" w:rsidRDefault="00000000">
            <w:pPr>
              <w:spacing w:before="40" w:after="40"/>
              <w:jc w:val="center"/>
            </w:pPr>
            <w:r>
              <w:rPr>
                <w:sz w:val="17"/>
              </w:rPr>
              <w:t>0.0238</w:t>
            </w:r>
          </w:p>
        </w:tc>
        <w:tc>
          <w:tcPr>
            <w:tcW w:w="2592" w:type="dxa"/>
            <w:shd w:val="clear" w:color="auto" w:fill="F8FAFC"/>
          </w:tcPr>
          <w:p w14:paraId="4B4FAF26" w14:textId="77777777" w:rsidR="00434EFE" w:rsidRDefault="00000000">
            <w:pPr>
              <w:spacing w:before="40" w:after="40"/>
              <w:jc w:val="center"/>
            </w:pPr>
            <w:r>
              <w:rPr>
                <w:sz w:val="17"/>
              </w:rPr>
              <w:t>Distinctive cognitive profile</w:t>
            </w:r>
          </w:p>
        </w:tc>
      </w:tr>
      <w:tr w:rsidR="00434EFE" w14:paraId="3D453BF0" w14:textId="77777777">
        <w:trPr>
          <w:cantSplit/>
          <w:jc w:val="center"/>
        </w:trPr>
        <w:tc>
          <w:tcPr>
            <w:tcW w:w="864" w:type="dxa"/>
            <w:shd w:val="clear" w:color="auto" w:fill="FFFFFF"/>
          </w:tcPr>
          <w:p w14:paraId="368705CA" w14:textId="77777777" w:rsidR="00434EFE" w:rsidRDefault="00000000">
            <w:pPr>
              <w:spacing w:before="40" w:after="40"/>
            </w:pPr>
            <w:r>
              <w:rPr>
                <w:sz w:val="17"/>
              </w:rPr>
              <w:t>9</w:t>
            </w:r>
          </w:p>
        </w:tc>
        <w:tc>
          <w:tcPr>
            <w:tcW w:w="1440" w:type="dxa"/>
            <w:shd w:val="clear" w:color="auto" w:fill="FFFFFF"/>
          </w:tcPr>
          <w:p w14:paraId="74F5E67A" w14:textId="77777777" w:rsidR="00434EFE" w:rsidRDefault="00000000">
            <w:pPr>
              <w:spacing w:before="40" w:after="40"/>
              <w:jc w:val="center"/>
            </w:pPr>
            <w:r>
              <w:rPr>
                <w:sz w:val="17"/>
              </w:rPr>
              <w:t>HP:0001249</w:t>
            </w:r>
          </w:p>
        </w:tc>
        <w:tc>
          <w:tcPr>
            <w:tcW w:w="2592" w:type="dxa"/>
            <w:shd w:val="clear" w:color="auto" w:fill="FFFFFF"/>
          </w:tcPr>
          <w:p w14:paraId="1897DD32" w14:textId="77777777" w:rsidR="00434EFE" w:rsidRDefault="00000000">
            <w:pPr>
              <w:spacing w:before="40" w:after="40"/>
              <w:jc w:val="center"/>
            </w:pPr>
            <w:r>
              <w:rPr>
                <w:sz w:val="17"/>
              </w:rPr>
              <w:t>Intellectual disability</w:t>
            </w:r>
          </w:p>
        </w:tc>
        <w:tc>
          <w:tcPr>
            <w:tcW w:w="2016" w:type="dxa"/>
            <w:shd w:val="clear" w:color="auto" w:fill="FFFFFF"/>
          </w:tcPr>
          <w:p w14:paraId="150D78D8" w14:textId="77777777" w:rsidR="00434EFE" w:rsidRDefault="00000000">
            <w:pPr>
              <w:spacing w:before="40" w:after="40"/>
              <w:jc w:val="center"/>
            </w:pPr>
            <w:r>
              <w:rPr>
                <w:sz w:val="17"/>
              </w:rPr>
              <w:t>White-Sutton / Xia-Gibbs</w:t>
            </w:r>
          </w:p>
        </w:tc>
        <w:tc>
          <w:tcPr>
            <w:tcW w:w="1584" w:type="dxa"/>
            <w:shd w:val="clear" w:color="auto" w:fill="FFFFFF"/>
          </w:tcPr>
          <w:p w14:paraId="40E1BA5B" w14:textId="77777777" w:rsidR="00434EFE" w:rsidRDefault="00000000">
            <w:pPr>
              <w:spacing w:before="40" w:after="40"/>
              <w:jc w:val="center"/>
            </w:pPr>
            <w:r>
              <w:rPr>
                <w:sz w:val="17"/>
              </w:rPr>
              <w:t>0.0231</w:t>
            </w:r>
          </w:p>
        </w:tc>
        <w:tc>
          <w:tcPr>
            <w:tcW w:w="2592" w:type="dxa"/>
            <w:shd w:val="clear" w:color="auto" w:fill="FFFFFF"/>
          </w:tcPr>
          <w:p w14:paraId="2EB6FE44" w14:textId="77777777" w:rsidR="00434EFE" w:rsidRDefault="00000000">
            <w:pPr>
              <w:spacing w:before="40" w:after="40"/>
              <w:jc w:val="center"/>
            </w:pPr>
            <w:r>
              <w:rPr>
                <w:sz w:val="17"/>
              </w:rPr>
              <w:t>Core neurodevelopmental feature</w:t>
            </w:r>
          </w:p>
        </w:tc>
      </w:tr>
      <w:tr w:rsidR="00434EFE" w14:paraId="2E703C29" w14:textId="77777777">
        <w:trPr>
          <w:cantSplit/>
          <w:jc w:val="center"/>
        </w:trPr>
        <w:tc>
          <w:tcPr>
            <w:tcW w:w="864" w:type="dxa"/>
            <w:shd w:val="clear" w:color="auto" w:fill="F8FAFC"/>
          </w:tcPr>
          <w:p w14:paraId="241939BC" w14:textId="77777777" w:rsidR="00434EFE" w:rsidRDefault="00000000">
            <w:pPr>
              <w:spacing w:before="40" w:after="40"/>
            </w:pPr>
            <w:r>
              <w:rPr>
                <w:sz w:val="17"/>
              </w:rPr>
              <w:t>10</w:t>
            </w:r>
          </w:p>
        </w:tc>
        <w:tc>
          <w:tcPr>
            <w:tcW w:w="1440" w:type="dxa"/>
            <w:shd w:val="clear" w:color="auto" w:fill="F8FAFC"/>
          </w:tcPr>
          <w:p w14:paraId="76C8A913" w14:textId="77777777" w:rsidR="00434EFE" w:rsidRDefault="00000000">
            <w:pPr>
              <w:spacing w:before="40" w:after="40"/>
              <w:jc w:val="center"/>
            </w:pPr>
            <w:r>
              <w:rPr>
                <w:sz w:val="17"/>
              </w:rPr>
              <w:t>HP:0000750</w:t>
            </w:r>
          </w:p>
        </w:tc>
        <w:tc>
          <w:tcPr>
            <w:tcW w:w="2592" w:type="dxa"/>
            <w:shd w:val="clear" w:color="auto" w:fill="F8FAFC"/>
          </w:tcPr>
          <w:p w14:paraId="0B0B3E8F" w14:textId="77777777" w:rsidR="00434EFE" w:rsidRDefault="00000000">
            <w:pPr>
              <w:spacing w:before="40" w:after="40"/>
              <w:jc w:val="center"/>
            </w:pPr>
            <w:r>
              <w:rPr>
                <w:sz w:val="17"/>
              </w:rPr>
              <w:t>Delayed speech development</w:t>
            </w:r>
          </w:p>
        </w:tc>
        <w:tc>
          <w:tcPr>
            <w:tcW w:w="2016" w:type="dxa"/>
            <w:shd w:val="clear" w:color="auto" w:fill="F8FAFC"/>
          </w:tcPr>
          <w:p w14:paraId="496BA2C7" w14:textId="77777777" w:rsidR="00434EFE" w:rsidRDefault="00000000">
            <w:pPr>
              <w:spacing w:before="40" w:after="40"/>
              <w:jc w:val="center"/>
            </w:pPr>
            <w:r>
              <w:rPr>
                <w:sz w:val="17"/>
              </w:rPr>
              <w:t>White-Sutton / Xia-Gibbs</w:t>
            </w:r>
          </w:p>
        </w:tc>
        <w:tc>
          <w:tcPr>
            <w:tcW w:w="1584" w:type="dxa"/>
            <w:shd w:val="clear" w:color="auto" w:fill="F8FAFC"/>
          </w:tcPr>
          <w:p w14:paraId="41509A4A" w14:textId="77777777" w:rsidR="00434EFE" w:rsidRDefault="00000000">
            <w:pPr>
              <w:spacing w:before="40" w:after="40"/>
              <w:jc w:val="center"/>
            </w:pPr>
            <w:r>
              <w:rPr>
                <w:sz w:val="17"/>
              </w:rPr>
              <w:t>0.0226</w:t>
            </w:r>
          </w:p>
        </w:tc>
        <w:tc>
          <w:tcPr>
            <w:tcW w:w="2592" w:type="dxa"/>
            <w:shd w:val="clear" w:color="auto" w:fill="F8FAFC"/>
          </w:tcPr>
          <w:p w14:paraId="4C3BD53C" w14:textId="77777777" w:rsidR="00434EFE" w:rsidRDefault="00000000">
            <w:pPr>
              <w:spacing w:before="40" w:after="40"/>
              <w:jc w:val="center"/>
            </w:pPr>
            <w:r>
              <w:rPr>
                <w:sz w:val="17"/>
              </w:rPr>
              <w:t>Expressive speech and language impairment</w:t>
            </w:r>
          </w:p>
        </w:tc>
      </w:tr>
    </w:tbl>
    <w:p w14:paraId="22C0B0CF" w14:textId="77777777" w:rsidR="00434EFE" w:rsidRDefault="00434EFE"/>
    <w:p w14:paraId="554BCCB7" w14:textId="77777777" w:rsidR="00434EFE" w:rsidRDefault="00000000">
      <w:pPr>
        <w:jc w:val="both"/>
      </w:pPr>
      <w:r>
        <w:t>Note on Interpretation: These HPO features were strongly associated with model decision boundaries. These features represent statistical associations with model decision boundaries and must not be interpreted as independent causal or definitive diagnostic criteria. The clinical context provided is background clinical interpretation, not a causal conclusion from SHAP.</w:t>
      </w:r>
    </w:p>
    <w:p w14:paraId="57F96850" w14:textId="77777777" w:rsidR="00434EFE" w:rsidRDefault="00000000">
      <w:pPr>
        <w:keepNext/>
        <w:spacing w:before="160" w:after="80"/>
        <w:jc w:val="center"/>
      </w:pPr>
      <w:r>
        <w:rPr>
          <w:noProof/>
        </w:rPr>
        <w:drawing>
          <wp:inline distT="0" distB="0" distL="0" distR="0" wp14:anchorId="1FA91D00" wp14:editId="35CA3FEC">
            <wp:extent cx="5486400" cy="26906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shap_feature_importance.png"/>
                    <pic:cNvPicPr/>
                  </pic:nvPicPr>
                  <pic:blipFill>
                    <a:blip r:embed="rId13"/>
                    <a:stretch>
                      <a:fillRect/>
                    </a:stretch>
                  </pic:blipFill>
                  <pic:spPr>
                    <a:xfrm>
                      <a:off x="0" y="0"/>
                      <a:ext cx="5486400" cy="2690679"/>
                    </a:xfrm>
                    <a:prstGeom prst="rect">
                      <a:avLst/>
                    </a:prstGeom>
                  </pic:spPr>
                </pic:pic>
              </a:graphicData>
            </a:graphic>
          </wp:inline>
        </w:drawing>
      </w:r>
    </w:p>
    <w:p w14:paraId="1623AB1E" w14:textId="77777777" w:rsidR="00434EFE" w:rsidRDefault="00000000">
      <w:pPr>
        <w:spacing w:after="240"/>
        <w:jc w:val="center"/>
      </w:pPr>
      <w:r>
        <w:rPr>
          <w:i/>
          <w:color w:val="475569"/>
          <w:sz w:val="19"/>
        </w:rPr>
        <w:t>Figure 8. Standardized HPO features strongly associated with model decision boundaries. Features are ranked by mean absolute SHAP values across test patients.</w:t>
      </w:r>
    </w:p>
    <w:p w14:paraId="71686082" w14:textId="77777777" w:rsidR="00434EFE" w:rsidRDefault="00000000">
      <w:pPr>
        <w:keepNext/>
        <w:spacing w:before="240" w:after="80"/>
      </w:pPr>
      <w:r>
        <w:rPr>
          <w:b/>
          <w:color w:val="0D9488"/>
          <w:sz w:val="24"/>
        </w:rPr>
        <w:t>6.5 Probability Calibration and Reliability Assessment</w:t>
      </w:r>
    </w:p>
    <w:p w14:paraId="4C4B476C" w14:textId="77777777" w:rsidR="00434EFE" w:rsidRDefault="00000000">
      <w:pPr>
        <w:jc w:val="both"/>
      </w:pPr>
      <w:r>
        <w:t>Probability calibration was assessed using Brier score and expected calibration error to evaluate the alignment between predicted probabilities and empirical outcomes: Multiclass Brier Score was 0.0419 (measures squared probability error; lower is better), Mean One-vs-Rest Brier Score was 0.0140 (White-Sutton: 0.0137; Xia-Gibbs: 0.0084; KBG: 0.0198), and Expected Calibration Error (ECE) was 8.59% across 10 probability bins.</w:t>
      </w:r>
    </w:p>
    <w:p w14:paraId="7EFFDF29" w14:textId="77777777" w:rsidR="00434EFE" w:rsidRDefault="00000000">
      <w:pPr>
        <w:keepNext/>
        <w:spacing w:before="160" w:after="80"/>
        <w:jc w:val="center"/>
      </w:pPr>
      <w:r>
        <w:rPr>
          <w:noProof/>
        </w:rPr>
        <w:lastRenderedPageBreak/>
        <w:drawing>
          <wp:inline distT="0" distB="0" distL="0" distR="0" wp14:anchorId="2B03200B" wp14:editId="31F121A2">
            <wp:extent cx="5486400" cy="28390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calibration_curve.png"/>
                    <pic:cNvPicPr/>
                  </pic:nvPicPr>
                  <pic:blipFill>
                    <a:blip r:embed="rId14"/>
                    <a:stretch>
                      <a:fillRect/>
                    </a:stretch>
                  </pic:blipFill>
                  <pic:spPr>
                    <a:xfrm>
                      <a:off x="0" y="0"/>
                      <a:ext cx="5486400" cy="2839052"/>
                    </a:xfrm>
                    <a:prstGeom prst="rect">
                      <a:avLst/>
                    </a:prstGeom>
                  </pic:spPr>
                </pic:pic>
              </a:graphicData>
            </a:graphic>
          </wp:inline>
        </w:drawing>
      </w:r>
    </w:p>
    <w:p w14:paraId="39211B6F" w14:textId="77777777" w:rsidR="00434EFE" w:rsidRDefault="00000000">
      <w:pPr>
        <w:spacing w:after="240"/>
        <w:jc w:val="center"/>
      </w:pPr>
      <w:r>
        <w:rPr>
          <w:i/>
          <w:color w:val="475569"/>
          <w:sz w:val="19"/>
        </w:rPr>
        <w:t>Figure 9. Probability calibration and reliability assessment on the held-out test set (N = 78). (A) Multi-class reliability curve comparing predicted probability against empirical accuracy (ECE = 8.59%). (B) Multiclass and One-vs-Rest Brier score breakdown.</w:t>
      </w:r>
    </w:p>
    <w:p w14:paraId="46264EC2" w14:textId="77777777" w:rsidR="00434EFE" w:rsidRDefault="00000000">
      <w:pPr>
        <w:keepNext/>
        <w:spacing w:before="240" w:after="80"/>
      </w:pPr>
      <w:r>
        <w:rPr>
          <w:b/>
          <w:color w:val="0D9488"/>
          <w:sz w:val="24"/>
        </w:rPr>
        <w:t>6.6 Threshold-Agnostic Performance (ROC and PR Curves)</w:t>
      </w:r>
    </w:p>
    <w:p w14:paraId="46A855B9" w14:textId="77777777" w:rsidR="00434EFE" w:rsidRDefault="00000000">
      <w:pPr>
        <w:jc w:val="both"/>
      </w:pPr>
      <w:r>
        <w:t>Threshold-agnostic discrimination on the held-out test set yielded macro AUROC and macro AUPRC values of 1.0000: Macro AUROC was 1.0000 (White-Sutton: 1.0000; Xia-Gibbs: 1.0000; KBG: 1.0000) and Macro AUPRC was 1.0000 (White-Sutton: 1.0000; Xia-Gibbs: 1.0000; KBG: 1.0000). These values reflect strong separation on the held-out test set of 78 patients; however, the relatively small sample size and closed-set design limit broader interpretation.</w:t>
      </w:r>
    </w:p>
    <w:p w14:paraId="42ED6D9A" w14:textId="77777777" w:rsidR="00434EFE" w:rsidRDefault="00000000">
      <w:pPr>
        <w:keepNext/>
        <w:spacing w:before="160" w:after="80"/>
        <w:jc w:val="center"/>
      </w:pPr>
      <w:r>
        <w:rPr>
          <w:noProof/>
        </w:rPr>
        <w:drawing>
          <wp:inline distT="0" distB="0" distL="0" distR="0" wp14:anchorId="0AA42350" wp14:editId="55EB7746">
            <wp:extent cx="5486400" cy="28315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roc_pr_curves.png"/>
                    <pic:cNvPicPr/>
                  </pic:nvPicPr>
                  <pic:blipFill>
                    <a:blip r:embed="rId15"/>
                    <a:stretch>
                      <a:fillRect/>
                    </a:stretch>
                  </pic:blipFill>
                  <pic:spPr>
                    <a:xfrm>
                      <a:off x="0" y="0"/>
                      <a:ext cx="5486400" cy="2831514"/>
                    </a:xfrm>
                    <a:prstGeom prst="rect">
                      <a:avLst/>
                    </a:prstGeom>
                  </pic:spPr>
                </pic:pic>
              </a:graphicData>
            </a:graphic>
          </wp:inline>
        </w:drawing>
      </w:r>
    </w:p>
    <w:p w14:paraId="29928D28" w14:textId="77777777" w:rsidR="00434EFE" w:rsidRDefault="00000000">
      <w:pPr>
        <w:spacing w:after="240"/>
        <w:jc w:val="center"/>
      </w:pPr>
      <w:r>
        <w:rPr>
          <w:i/>
          <w:color w:val="475569"/>
          <w:sz w:val="19"/>
        </w:rPr>
        <w:t>Figure 10. Discriminative performance curves across decision thresholds on the held-out test set (N = 78). (A) Multi-class One-vs-Rest ROC curves (Macro AUROC = 1.0000). (B) Multi-class Precision-Recall curves (Macro AUPRC = 1.0000).</w:t>
      </w:r>
    </w:p>
    <w:p w14:paraId="763DF3B2" w14:textId="77777777" w:rsidR="00434EFE" w:rsidRDefault="00000000">
      <w:pPr>
        <w:keepNext/>
        <w:spacing w:before="240" w:after="80"/>
      </w:pPr>
      <w:r>
        <w:rPr>
          <w:b/>
          <w:color w:val="0D9488"/>
          <w:sz w:val="24"/>
        </w:rPr>
        <w:lastRenderedPageBreak/>
        <w:t>6.7 Exploratory Upstream OCR Evaluation</w:t>
      </w:r>
    </w:p>
    <w:p w14:paraId="41BAEE66" w14:textId="77777777" w:rsidR="00434EFE" w:rsidRDefault="00000000">
      <w:pPr>
        <w:jc w:val="both"/>
      </w:pPr>
      <w:r>
        <w:t>Evaluation of the upstream EasyOCR module on scanned clinical summaries yielded Character Error Rate (CER) of 11.42%, Word Error Rate (WER) of 92.00%, Concept Mapping on Clean Text of 100.0% (10/10 test phrases successfully mapped), and Concept Mapping on Noisy Scans of 80.0% (8/10 test phrases successfully mapped).</w:t>
      </w:r>
    </w:p>
    <w:p w14:paraId="3B5886E9" w14:textId="77777777" w:rsidR="00434EFE" w:rsidRDefault="00000000">
      <w:pPr>
        <w:jc w:val="both"/>
      </w:pPr>
      <w:r>
        <w:t>Clinical Note: Due to the high Word Error Rate on scanned documents, OCR is designated strictly as an exploratory upstream utility and is not clinically validated for automated standalone use without clinician verification.</w:t>
      </w:r>
    </w:p>
    <w:p w14:paraId="4E3C79E7" w14:textId="77777777" w:rsidR="00434EFE" w:rsidRDefault="00000000">
      <w:pPr>
        <w:keepNext/>
        <w:spacing w:before="240" w:after="80"/>
      </w:pPr>
      <w:r>
        <w:rPr>
          <w:b/>
          <w:color w:val="0D9488"/>
          <w:sz w:val="24"/>
        </w:rPr>
        <w:t>6.8 Limitations and Generalization Considerations</w:t>
      </w:r>
    </w:p>
    <w:p w14:paraId="011D63EB" w14:textId="77777777" w:rsidR="00434EFE" w:rsidRDefault="00000000">
      <w:pPr>
        <w:jc w:val="both"/>
      </w:pPr>
      <w:r>
        <w:t>We acknowledge the following scientific limitations:</w:t>
      </w:r>
    </w:p>
    <w:p w14:paraId="5F8EEF68" w14:textId="77777777" w:rsidR="00434EFE" w:rsidRDefault="00000000">
      <w:pPr>
        <w:jc w:val="both"/>
      </w:pPr>
      <w:r>
        <w:t>1. Moderate Sample Size: Although N = 385 is substantial for these ultra-rare conditions, smaller sample sizes in minority classes (n = 45 for White-Sutton, n = 42 for Xia-Gibbs) yield wider confidence intervals.</w:t>
      </w:r>
    </w:p>
    <w:p w14:paraId="09835C1A" w14:textId="77777777" w:rsidR="00434EFE" w:rsidRDefault="00000000">
      <w:pPr>
        <w:jc w:val="both"/>
      </w:pPr>
      <w:r>
        <w:t>2. Natural Class Imbalance: KBG syndrome accounts for 77.40% of the cohort, reflecting higher historical publication volume rather than true epidemiological prevalence.</w:t>
      </w:r>
    </w:p>
    <w:p w14:paraId="0F70FEEE" w14:textId="77777777" w:rsidR="00434EFE" w:rsidRDefault="00000000">
      <w:pPr>
        <w:jc w:val="both"/>
      </w:pPr>
      <w:r>
        <w:t>3. Source-Publication-Grouped Performance Drop: The drop to 79.62% accuracy in source-publication-grouped validation indicates that differences in clinical reporting styles affect model transferability.</w:t>
      </w:r>
    </w:p>
    <w:p w14:paraId="7CF0ADC0" w14:textId="77777777" w:rsidR="00434EFE" w:rsidRDefault="00000000">
      <w:pPr>
        <w:jc w:val="both"/>
      </w:pPr>
      <w:r>
        <w:t>4. Literature Selection Bias: Published case reports often emphasize classic or severe presentations, which may not fully represent milder community presentations.</w:t>
      </w:r>
    </w:p>
    <w:p w14:paraId="38468EEB" w14:textId="77777777" w:rsidR="00434EFE" w:rsidRDefault="00000000">
      <w:pPr>
        <w:jc w:val="both"/>
      </w:pPr>
      <w:r>
        <w:t>5. No Prospective Hospital EHR Validation: The framework was evaluated on retrospective literature cohorts; prospective validation in uncurated hospital electronic health records is still required.</w:t>
      </w:r>
    </w:p>
    <w:p w14:paraId="05E5A411" w14:textId="77777777" w:rsidR="00434EFE" w:rsidRDefault="00000000">
      <w:pPr>
        <w:jc w:val="both"/>
      </w:pPr>
      <w:r>
        <w:t>6. Binary Coding of Symptoms: Symptoms not mentioned in published reports are coded as 0, which cannot distinguish between true biological absence and clinical non-reporting.</w:t>
      </w:r>
    </w:p>
    <w:p w14:paraId="55D3D9B8" w14:textId="77777777" w:rsidR="00434EFE" w:rsidRDefault="00000000">
      <w:pPr>
        <w:jc w:val="both"/>
      </w:pPr>
      <w:r>
        <w:t>7. Fixed Feature Vocabulary: Four rare symptoms in the test set were unobserved during training and were masked out during inference.</w:t>
      </w:r>
    </w:p>
    <w:p w14:paraId="3B5454DD" w14:textId="77777777" w:rsidR="00434EFE" w:rsidRDefault="00000000">
      <w:pPr>
        <w:jc w:val="both"/>
      </w:pPr>
      <w:r>
        <w:t>8. Exploratory OCR Status: The OCR pipeline is an exploratory upstream tool requiring manual human verification.</w:t>
      </w:r>
    </w:p>
    <w:p w14:paraId="2D488724" w14:textId="77777777" w:rsidR="00434EFE" w:rsidRDefault="00000000">
      <w:pPr>
        <w:jc w:val="both"/>
      </w:pPr>
      <w:r>
        <w:t>9. Closed-Set Scope: The current model is a closed-set three-class classification system and should not be interpreted as a general-purpose rare disease diagnostic model.</w:t>
      </w:r>
    </w:p>
    <w:p w14:paraId="52753649" w14:textId="77777777" w:rsidR="00434EFE" w:rsidRDefault="00000000">
      <w:pPr>
        <w:jc w:val="both"/>
      </w:pPr>
      <w:r>
        <w:t>10. Ontology Dependence: Model accuracy depends directly on how accurately clinical findings are converted into standardized HPO codes.</w:t>
      </w:r>
    </w:p>
    <w:p w14:paraId="75B06FEC" w14:textId="77777777" w:rsidR="00434EFE" w:rsidRDefault="00000000">
      <w:pPr>
        <w:jc w:val="both"/>
      </w:pPr>
      <w:r>
        <w:t>Therefore, the present study should be interpreted as a retrospective, literature-derived computational validation rather than evidence of clinical deployment readiness.</w:t>
      </w:r>
    </w:p>
    <w:p w14:paraId="0CC2B609" w14:textId="77777777" w:rsidR="00434EFE" w:rsidRDefault="00000000">
      <w:pPr>
        <w:keepNext/>
        <w:spacing w:before="320"/>
      </w:pPr>
      <w:r>
        <w:rPr>
          <w:b/>
          <w:color w:val="1E3A8A"/>
          <w:sz w:val="28"/>
        </w:rPr>
        <w:lastRenderedPageBreak/>
        <w:t>7. Conclusion</w:t>
      </w:r>
    </w:p>
    <w:p w14:paraId="24CE3024" w14:textId="77777777" w:rsidR="00434EFE" w:rsidRDefault="00000000">
      <w:pPr>
        <w:jc w:val="both"/>
      </w:pPr>
      <w:r>
        <w:t>This study presented RareDXAI, a computational framework that converts clinical genetics literature into structured Human Phenotype Ontology representations to assist in predicting and prioritizing between three syndromic neurodevelopmental disorders: KBG syndrome, White-Sutton syndrome, and Xia-Gibbs syndrome.</w:t>
      </w:r>
    </w:p>
    <w:p w14:paraId="1519A9C0" w14:textId="77777777" w:rsidR="00434EFE" w:rsidRDefault="00000000">
      <w:pPr>
        <w:jc w:val="both"/>
      </w:pPr>
      <w:r>
        <w:t>By curating an audited cohort of 385 molecularly confirmed patients across 48 peer-reviewed publications and applying profile-grouped partitioning, RareDXAI achieved a held-out test classification accuracy of 98.72% (macro F1 of 0.9776) with calibrated probability estimation (Brier score of 0.0419) and interpretable SHAP feature attributions.</w:t>
      </w:r>
    </w:p>
    <w:p w14:paraId="1491E7F8" w14:textId="77777777" w:rsidR="00434EFE" w:rsidRDefault="00000000">
      <w:pPr>
        <w:jc w:val="both"/>
      </w:pPr>
      <w:r>
        <w:t>Importantly, source-publication-grouped stress validation demonstrated that performance decreases (79.62%) when evaluating phenotype distributions from previously unseen publications. This finding underscores that practical clinical decision support will require standardized phenotyping protocols and independent external validation. RareDXAI provides a transparent, reproducible baseline for phenotype-based rare disease decision support, establishing a foundation for future integration with genomic sequencing and electronic health records.</w:t>
      </w:r>
    </w:p>
    <w:p w14:paraId="3C7CD7EE" w14:textId="77777777" w:rsidR="00434EFE" w:rsidRDefault="00000000">
      <w:pPr>
        <w:keepNext/>
        <w:spacing w:before="320"/>
      </w:pPr>
      <w:r>
        <w:rPr>
          <w:b/>
          <w:color w:val="1E3A8A"/>
          <w:sz w:val="28"/>
        </w:rPr>
        <w:t>8. References</w:t>
      </w:r>
    </w:p>
    <w:p w14:paraId="1C74A034" w14:textId="77777777" w:rsidR="00434EFE" w:rsidRDefault="00000000">
      <w:pPr>
        <w:spacing w:after="80"/>
        <w:ind w:left="360"/>
      </w:pPr>
      <w:r>
        <w:rPr>
          <w:sz w:val="19"/>
        </w:rPr>
        <w:t>1. Assia Batzir, N., et al. (2020). Further delineation of White-Sutton syndrome: Clinical and molecular characterization of 22 individuals. American Journal of Medical Genetics Part A, 182(8), 1878–1889. https://doi.org/10.1002/ajmg.a.61633</w:t>
      </w:r>
    </w:p>
    <w:p w14:paraId="41329D18" w14:textId="77777777" w:rsidR="00434EFE" w:rsidRDefault="00000000">
      <w:pPr>
        <w:spacing w:after="80"/>
        <w:ind w:left="360"/>
      </w:pPr>
      <w:r>
        <w:rPr>
          <w:sz w:val="19"/>
        </w:rPr>
        <w:t>2. Birgmeier, J., et al. (2020). AMELIE accelerates Mendelian patient diagnosis directly from the primary literature by machine learning. Science Translational Medicine, 12(545), eaau9113. https://doi.org/10.1126/scitranslmed.aau9113</w:t>
      </w:r>
    </w:p>
    <w:p w14:paraId="4DC17005" w14:textId="77777777" w:rsidR="00434EFE" w:rsidRDefault="00000000">
      <w:pPr>
        <w:spacing w:after="80"/>
        <w:ind w:left="360"/>
      </w:pPr>
      <w:r>
        <w:rPr>
          <w:sz w:val="19"/>
        </w:rPr>
        <w:t>3. Feng, Y., et al. (2021). PhenoTagger: A hybrid method for Human Phenotype Ontology concept recognition using deep learning and dictionary index. Bioinformatics, 37(5), 679–685. https://doi.org/10.1093/bioinformatics/btaa897</w:t>
      </w:r>
    </w:p>
    <w:p w14:paraId="10F3428A" w14:textId="77777777" w:rsidR="00434EFE" w:rsidRDefault="00000000">
      <w:pPr>
        <w:spacing w:after="80"/>
        <w:ind w:left="360"/>
      </w:pPr>
      <w:r>
        <w:rPr>
          <w:sz w:val="19"/>
        </w:rPr>
        <w:t>4. Gargano, M. A., et al. (2024). The Human Phenotype Ontology in 2024: phenotypes around the world. Nucleic Acids Research, 52(D1), D1333–D1346. https://doi.org/10.1093/nar/gkad1005</w:t>
      </w:r>
    </w:p>
    <w:p w14:paraId="5F4C6FFD" w14:textId="77777777" w:rsidR="00434EFE" w:rsidRDefault="00000000">
      <w:pPr>
        <w:spacing w:after="80"/>
        <w:ind w:left="360"/>
      </w:pPr>
      <w:r>
        <w:rPr>
          <w:sz w:val="19"/>
        </w:rPr>
        <w:t>5. Hsieh, T. C., et al. (2022). GestaltMatcher: deep convolutional neural networks for rare disease facial dysmorphology matching. Nature Genetics, 54(4), 349–354. https://doi.org/10.1038/s41588-021-01010-x</w:t>
      </w:r>
    </w:p>
    <w:p w14:paraId="12711E2C" w14:textId="77777777" w:rsidR="00434EFE" w:rsidRDefault="00000000">
      <w:pPr>
        <w:spacing w:after="80"/>
        <w:ind w:left="360"/>
      </w:pPr>
      <w:r>
        <w:rPr>
          <w:sz w:val="19"/>
        </w:rPr>
        <w:t>6. Jacobsen, J. O. B., et al. (2022). The GA4GH Phenopacket schema: A computable format for phenotypic data for rare diseases and beyond. Nature Biotechnology, 40(6), 817–820. https://doi.org/10.1038/s41587-022-01357-4</w:t>
      </w:r>
    </w:p>
    <w:p w14:paraId="189F289F" w14:textId="77777777" w:rsidR="00434EFE" w:rsidRDefault="00000000">
      <w:pPr>
        <w:spacing w:after="80"/>
        <w:ind w:left="360"/>
      </w:pPr>
      <w:r>
        <w:rPr>
          <w:sz w:val="19"/>
        </w:rPr>
        <w:t>7. Khayat, M. M., et al. (2021). Expanding the phenotypic spectrum of Xia-Gibbs syndrome in 8 patients. American Journal of Medical Genetics Part A, 185(12), 3737–3746. https://doi.org/10.1002/ajmg.a.62446</w:t>
      </w:r>
    </w:p>
    <w:p w14:paraId="2CE61CCD" w14:textId="77777777" w:rsidR="00434EFE" w:rsidRDefault="00000000">
      <w:pPr>
        <w:spacing w:after="80"/>
        <w:ind w:left="360"/>
      </w:pPr>
      <w:r>
        <w:rPr>
          <w:sz w:val="19"/>
        </w:rPr>
        <w:t>8. Köhler, S., et al. (2021). The Human Phenotype Ontology in 2021. Nucleic Acids Research, 49(D1), D1207–D1217. https://doi.org/10.1093/nar/gkaa1043</w:t>
      </w:r>
    </w:p>
    <w:p w14:paraId="12EBB16D" w14:textId="77777777" w:rsidR="00434EFE" w:rsidRDefault="00000000">
      <w:pPr>
        <w:spacing w:after="80"/>
        <w:ind w:left="360"/>
      </w:pPr>
      <w:r>
        <w:rPr>
          <w:sz w:val="19"/>
        </w:rPr>
        <w:t>9. Ladewig, E., et al. (2023). Phenopacket Store: A curated repository of computable clinical case reports. Database, 2023, baad074. https://doi.org/10.1093/database/baad074</w:t>
      </w:r>
    </w:p>
    <w:p w14:paraId="77026AFA" w14:textId="77777777" w:rsidR="00434EFE" w:rsidRDefault="00000000">
      <w:pPr>
        <w:spacing w:after="80"/>
        <w:ind w:left="360"/>
      </w:pPr>
      <w:r>
        <w:rPr>
          <w:sz w:val="19"/>
        </w:rPr>
        <w:t>10. Liu, C., et al. (2020). Doc2HPO: a web application for efficient and standardized clinical phenotype curation. BMC Bioinformatics, 20(1), 634. https://doi.org/10.1186/s12859-019-3198-y</w:t>
      </w:r>
    </w:p>
    <w:p w14:paraId="32CEE47E" w14:textId="77777777" w:rsidR="00434EFE" w:rsidRDefault="00000000">
      <w:pPr>
        <w:spacing w:after="80"/>
        <w:ind w:left="360"/>
      </w:pPr>
      <w:r>
        <w:rPr>
          <w:sz w:val="19"/>
        </w:rPr>
        <w:lastRenderedPageBreak/>
        <w:t>11. Martinez-Cayuelas, E., et al. (2023). KBG syndrome: delineation of the clinical spectrum in 67 patients and diagnostic criteria. European Journal of Human Genetics, 31(7), 793–802. https://doi.org/10.1038/s41431-023-01314-x</w:t>
      </w:r>
    </w:p>
    <w:p w14:paraId="4620905D" w14:textId="77777777" w:rsidR="00434EFE" w:rsidRDefault="00000000">
      <w:pPr>
        <w:spacing w:after="80"/>
        <w:ind w:left="360"/>
      </w:pPr>
      <w:r>
        <w:rPr>
          <w:sz w:val="19"/>
        </w:rPr>
        <w:t>12. Robinson, P. N., et al. (2020). Interpretable Clinical Genomics with a Likelihood Ratio Baseline. The American Journal of Human Genetics, 107(3), 403–417. https://doi.org/10.1016/j.ajhg.2020.06.021</w:t>
      </w:r>
    </w:p>
    <w:p w14:paraId="6A4F0A69" w14:textId="77777777" w:rsidR="00434EFE" w:rsidRDefault="00000000">
      <w:pPr>
        <w:spacing w:after="80"/>
        <w:ind w:left="360"/>
      </w:pPr>
      <w:r>
        <w:rPr>
          <w:sz w:val="19"/>
        </w:rPr>
        <w:t>13. Rönicke, S., et al. (2020). Can an artificial intelligence tool improve the diagnosis of rare diseases? A comprehensive review of current clinical decision support systems. Molecular and Cellular Pediatrics, 7(1), 12. https://doi.org/10.1186/s43042-020-00055-5</w:t>
      </w:r>
    </w:p>
    <w:p w14:paraId="754F5B0C" w14:textId="77777777" w:rsidR="00434EFE" w:rsidRDefault="00000000">
      <w:pPr>
        <w:spacing w:after="80"/>
        <w:ind w:left="360"/>
      </w:pPr>
      <w:r>
        <w:rPr>
          <w:sz w:val="19"/>
        </w:rPr>
        <w:t>14. Schuetz, D., et al. (2023). Automated extraction and ontological harmonization of patient phenotypes from rare disease case reports. Journal of Biomedical Informatics, 145, 104467. https://doi.org/10.1016/j.jbi.2023.104467</w:t>
      </w:r>
    </w:p>
    <w:p w14:paraId="0064D3B3" w14:textId="77777777" w:rsidR="00434EFE" w:rsidRDefault="00000000">
      <w:pPr>
        <w:spacing w:after="80"/>
        <w:ind w:left="360"/>
      </w:pPr>
      <w:r>
        <w:rPr>
          <w:sz w:val="19"/>
        </w:rPr>
        <w:t>15. Zhao, M., et al. (2020). Phen2Gene: a rapid phenotype-driven gene prioritization tool using Human Phenotype Ontology. Nucleic Acids Research, 48(9), 4728–4739. https://doi.org/10.1093/nar/gkaa211</w:t>
      </w:r>
    </w:p>
    <w:sectPr w:rsidR="00434EF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3525620">
    <w:abstractNumId w:val="8"/>
  </w:num>
  <w:num w:numId="2" w16cid:durableId="1102413486">
    <w:abstractNumId w:val="6"/>
  </w:num>
  <w:num w:numId="3" w16cid:durableId="739139534">
    <w:abstractNumId w:val="5"/>
  </w:num>
  <w:num w:numId="4" w16cid:durableId="1744451214">
    <w:abstractNumId w:val="4"/>
  </w:num>
  <w:num w:numId="5" w16cid:durableId="820079609">
    <w:abstractNumId w:val="7"/>
  </w:num>
  <w:num w:numId="6" w16cid:durableId="1655060497">
    <w:abstractNumId w:val="3"/>
  </w:num>
  <w:num w:numId="7" w16cid:durableId="509685714">
    <w:abstractNumId w:val="2"/>
  </w:num>
  <w:num w:numId="8" w16cid:durableId="1549951974">
    <w:abstractNumId w:val="1"/>
  </w:num>
  <w:num w:numId="9" w16cid:durableId="1108548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EFE"/>
    <w:rsid w:val="00637B51"/>
    <w:rsid w:val="006E55D2"/>
    <w:rsid w:val="00AA1D8D"/>
    <w:rsid w:val="00B47730"/>
    <w:rsid w:val="00C872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798CF"/>
  <w14:defaultImageDpi w14:val="300"/>
  <w15:docId w15:val="{E8BB75E8-C497-4572-9AAD-404D746D5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5976</Words>
  <Characters>34069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kavitha</cp:lastModifiedBy>
  <cp:revision>3</cp:revision>
  <dcterms:created xsi:type="dcterms:W3CDTF">2013-12-23T23:15:00Z</dcterms:created>
  <dcterms:modified xsi:type="dcterms:W3CDTF">2026-09-06T11:46:00Z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3503e685-ae7a-4b78-8e1e-2044bd8c3dbf</vt:lpwstr>
  </property>
</Properties>
</file>