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3. Project Design Phase</w:t>
      </w:r>
    </w:p>
    <w:p>
      <w:pPr>
        <w:jc w:val="center"/>
      </w:pPr>
      <w:r>
        <w:rPr>
          <w:i/>
          <w:sz w:val="22"/>
        </w:rPr>
        <w:t>Project: Implement Client Script &amp; UI Policy (ServiceNow)</w:t>
      </w:r>
    </w:p>
    <w:p>
      <w:pPr>
        <w:pStyle w:val="Heading1"/>
      </w:pPr>
      <w:r>
        <w:t>Phase Objective</w:t>
      </w:r>
    </w:p>
    <w:p>
      <w:r>
        <w:t>The design phase converts the requirements into a practical ServiceNow form design. Navigation, tables, fields, form layout, and the locations where Client Scripts and UI Policies will be applied are identified.</w:t>
      </w:r>
    </w:p>
    <w:p>
      <w:pPr>
        <w:pStyle w:val="Heading1"/>
      </w:pPr>
      <w:r>
        <w:t>Activities Covered</w:t>
      </w:r>
    </w:p>
    <w:p>
      <w:pPr>
        <w:pStyle w:val="ListBullet"/>
      </w:pPr>
      <w:r>
        <w:t>Identify the ServiceNow form and relevant fields.</w:t>
      </w:r>
    </w:p>
    <w:p>
      <w:pPr>
        <w:pStyle w:val="ListBullet"/>
      </w:pPr>
      <w:r>
        <w:t>Plan where Client Script and UI Policy rules will be applied.</w:t>
      </w:r>
    </w:p>
    <w:p>
      <w:pPr>
        <w:pStyle w:val="ListBullet"/>
      </w:pPr>
      <w:r>
        <w:t>Arrange the form behavior according to the requirements.</w:t>
      </w:r>
    </w:p>
    <w:p>
      <w:pPr>
        <w:pStyle w:val="Heading1"/>
      </w:pPr>
      <w:r>
        <w:t>Screenshots from the Project Video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9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video screen at approximately 92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0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Project video screen at approximately 108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2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Project video screen at approximately 126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39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Project video screen at approximately 139 seconds.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8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14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Project video screen at approximately 149 seconds.</w:t>
      </w:r>
    </w:p>
    <w:p>
      <w:pPr>
        <w:pStyle w:val="Heading1"/>
      </w:pPr>
      <w:r>
        <w:t>Phase Outcome</w:t>
      </w:r>
    </w:p>
    <w:p>
      <w:r>
        <w:t>A practical design is established for the ServiceNow form and its Client Script/UI Policy behavior.</w:t>
      </w:r>
    </w:p>
    <w:p>
      <w:pPr>
        <w:jc w:val="right"/>
      </w:pPr>
      <w:r>
        <w:rPr>
          <w:i/>
          <w:sz w:val="16"/>
        </w:rPr>
        <w:t>Prepared from the supplied project demonstration video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