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4. Project Planning Phase</w:t>
      </w:r>
    </w:p>
    <w:p>
      <w:pPr>
        <w:jc w:val="center"/>
      </w:pPr>
      <w:r>
        <w:rPr>
          <w:i/>
          <w:sz w:val="22"/>
        </w:rPr>
        <w:t>Project: Implement Client Script &amp; UI Policy (ServiceNow)</w:t>
      </w:r>
    </w:p>
    <w:p>
      <w:pPr>
        <w:pStyle w:val="Heading1"/>
      </w:pPr>
      <w:r>
        <w:t>Phase Objective</w:t>
      </w:r>
    </w:p>
    <w:p>
      <w:r>
        <w:t>The work is organized into implementation steps. The video shows the project workspace, configuration screens, selected fields, and the sequence used to prepare the form before coding and testing.</w:t>
      </w:r>
    </w:p>
    <w:p>
      <w:pPr>
        <w:pStyle w:val="Heading1"/>
      </w:pPr>
      <w:r>
        <w:t>Activities Covered</w:t>
      </w:r>
    </w:p>
    <w:p>
      <w:pPr>
        <w:pStyle w:val="ListBullet"/>
      </w:pPr>
      <w:r>
        <w:t>Prepare the implementation sequence.</w:t>
      </w:r>
    </w:p>
    <w:p>
      <w:pPr>
        <w:pStyle w:val="ListBullet"/>
      </w:pPr>
      <w:r>
        <w:t>Select the records and fields to configure.</w:t>
      </w:r>
    </w:p>
    <w:p>
      <w:pPr>
        <w:pStyle w:val="ListBullet"/>
      </w:pPr>
      <w:r>
        <w:t>Move from the planned design toward actual configuration.</w:t>
      </w:r>
    </w:p>
    <w:p>
      <w:pPr>
        <w:pStyle w:val="Heading1"/>
      </w:pPr>
      <w:r>
        <w:t>Screenshots from the Project Video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85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15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Project video screen at approximately 152 seconds.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8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16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Project video screen at approximately 165 seconds.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85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18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Project video screen at approximately 182 seconds.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85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19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Project video screen at approximately 194 seconds.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85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2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Project video screen at approximately 205 seconds.</w:t>
      </w:r>
    </w:p>
    <w:p>
      <w:pPr>
        <w:pStyle w:val="Heading1"/>
      </w:pPr>
      <w:r>
        <w:t>Phase Outcome</w:t>
      </w:r>
    </w:p>
    <w:p>
      <w:r>
        <w:t>The implementation work is organized into a clear sequence of configuration and verification steps.</w:t>
      </w:r>
    </w:p>
    <w:p>
      <w:pPr>
        <w:jc w:val="right"/>
      </w:pPr>
      <w:r>
        <w:rPr>
          <w:i/>
          <w:sz w:val="16"/>
        </w:rPr>
        <w:t>Prepared from the supplied project demonstration video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