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Bicycle &amp; E-Bike Retail Sales Analysis</w:t>
      </w:r>
    </w:p>
    <w:p>
      <w:pPr>
        <w:spacing w:after="40"/>
        <w:jc w:val="center"/>
      </w:pPr>
      <w:r>
        <w:rPr>
          <w:color w:val="555555"/>
          <w:sz w:val="24"/>
          <w:szCs w:val="24"/>
        </w:rPr>
        <w:t xml:space="preserve">Excel Capstone Project — April to August 2026</w:t>
      </w:r>
    </w:p>
    <w:p>
      <w:pPr>
        <w:spacing w:after="300"/>
        <w:jc w:val="center"/>
      </w:pPr>
      <w:r>
        <w:rPr>
          <w:i/>
          <w:iCs/>
          <w:color w:val="555555"/>
          <w:sz w:val="22"/>
          <w:szCs w:val="22"/>
        </w:rPr>
        <w:t xml:space="preserve">Project Report</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7020"/>
            <w:shd w:fill="1F3864" w:color="auto" w:val="clear"/>
            <w:tcMar>
              <w:top w:type="dxa" w:w="60"/>
              <w:left w:type="dxa" w:w="100"/>
              <w:bottom w:type="dxa" w:w="60"/>
              <w:right w:type="dxa" w:w="100"/>
            </w:tcMar>
            <w:vAlign w:val="center"/>
          </w:tcPr>
          <w:p>
            <w:pPr>
              <w:jc w:val="center"/>
            </w:pPr>
            <w:r>
              <w:rPr>
                <w:b/>
                <w:bCs/>
                <w:color w:val="FFFFFF"/>
                <w:sz w:val="19"/>
                <w:szCs w:val="19"/>
              </w:rPr>
              <w:t xml:space="preserve">Detail</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Author</w:t>
            </w:r>
          </w:p>
        </w:tc>
        <w:tc>
          <w:tcPr>
            <w:tcW w:type="dxa" w:w="7020"/>
            <w:tcMar>
              <w:top w:type="dxa" w:w="60"/>
              <w:left w:type="dxa" w:w="100"/>
              <w:bottom w:type="dxa" w:w="60"/>
              <w:right w:type="dxa" w:w="100"/>
            </w:tcMar>
            <w:vAlign w:val="center"/>
          </w:tcPr>
          <w:p>
            <w:pPr>
              <w:jc w:val="center"/>
            </w:pPr>
            <w:r>
              <w:rPr>
                <w:b w:val="false"/>
                <w:bCs w:val="false"/>
                <w:color w:val="222222"/>
                <w:sz w:val="19"/>
                <w:szCs w:val="19"/>
              </w:rPr>
              <w:t xml:space="preserve">Dharshini Gopi</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Project type</w:t>
            </w:r>
          </w:p>
        </w:tc>
        <w:tc>
          <w:tcPr>
            <w:tcW w:type="dxa" w:w="70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Excel Data Analytics Capstone</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Dataset</w:t>
            </w:r>
          </w:p>
        </w:tc>
        <w:tc>
          <w:tcPr>
            <w:tcW w:type="dxa" w:w="7020"/>
            <w:tcMar>
              <w:top w:type="dxa" w:w="60"/>
              <w:left w:type="dxa" w:w="100"/>
              <w:bottom w:type="dxa" w:w="60"/>
              <w:right w:type="dxa" w:w="100"/>
            </w:tcMar>
            <w:vAlign w:val="center"/>
          </w:tcPr>
          <w:p>
            <w:pPr>
              <w:jc w:val="center"/>
            </w:pPr>
            <w:r>
              <w:rPr>
                <w:b w:val="false"/>
                <w:bCs w:val="false"/>
                <w:color w:val="222222"/>
                <w:sz w:val="19"/>
                <w:szCs w:val="19"/>
              </w:rPr>
              <w:t xml:space="preserve">Sales_Detail.xlsx (bicycle &amp; e-bike retail extract)</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Period covered</w:t>
            </w:r>
          </w:p>
        </w:tc>
        <w:tc>
          <w:tcPr>
            <w:tcW w:type="dxa" w:w="70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April 2026 – August 2026 (August partial: 1–5 Aug)</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Tools used</w:t>
            </w:r>
          </w:p>
        </w:tc>
        <w:tc>
          <w:tcPr>
            <w:tcW w:type="dxa" w:w="7020"/>
            <w:tcMar>
              <w:top w:type="dxa" w:w="60"/>
              <w:left w:type="dxa" w:w="100"/>
              <w:bottom w:type="dxa" w:w="60"/>
              <w:right w:type="dxa" w:w="100"/>
            </w:tcMar>
            <w:vAlign w:val="center"/>
          </w:tcPr>
          <w:p>
            <w:pPr>
              <w:jc w:val="center"/>
            </w:pPr>
            <w:r>
              <w:rPr>
                <w:b w:val="false"/>
                <w:bCs w:val="false"/>
                <w:color w:val="222222"/>
                <w:sz w:val="19"/>
                <w:szCs w:val="19"/>
              </w:rPr>
              <w:t xml:space="preserve">Microsoft Excel — Power Query-style cleaning, SUMIF/SUMIFS, PivotTable-style summaries, native charts</w:t>
            </w:r>
          </w:p>
        </w:tc>
      </w:tr>
    </w:tbl>
    <w:p>
      <w:pPr>
        <w:spacing w:after="300" w:before="300"/>
      </w:pPr>
    </w:p>
    <w:p>
      <w:pPr>
        <w:spacing w:after="160"/>
      </w:pPr>
      <w:r>
        <w:rPr>
          <w:color w:val="222222"/>
          <w:sz w:val="21"/>
          <w:szCs w:val="21"/>
        </w:rPr>
        <w:t xml:space="preserve">This report documents the cleaning, feature engineering, and analysis of five months of bicycle and e-bike retail sales data, and states plainly what the dataset can and cannot support.</w:t>
      </w:r>
    </w:p>
    <w:p>
      <w:pPr>
        <w:pBdr>
          <w:bottom w:val="single" w:color="999999" w:sz="6" w:space="1"/>
        </w:pBdr>
        <w:spacing w:after="200"/>
      </w:pPr>
    </w:p>
    <w:p>
      <w:pPr>
        <w:pStyle w:val="Heading1"/>
        <w:spacing w:after="160" w:before="360"/>
      </w:pPr>
      <w:r>
        <w:rPr>
          <w:b/>
          <w:bCs/>
          <w:color w:val="1F3864"/>
          <w:sz w:val="28"/>
          <w:szCs w:val="28"/>
        </w:rPr>
        <w:t xml:space="preserve">1. Objective</w:t>
      </w:r>
    </w:p>
    <w:p>
      <w:pPr>
        <w:spacing w:after="160"/>
      </w:pPr>
      <w:r>
        <w:rPr>
          <w:color w:val="222222"/>
          <w:sz w:val="21"/>
          <w:szCs w:val="21"/>
        </w:rPr>
        <w:t xml:space="preserve">The purpose of this project is to take a raw retail sales extract and turn it into a validated, analysis-ready dataset that supports a live KPI dashboard. The source file provides transaction-level revenue and quantity by product and reporting period, but no brand, segment, or unit-price fields — these had to be derived before any meaningful aggregation was possible.</w:t>
      </w:r>
    </w:p>
    <w:p>
      <w:pPr>
        <w:spacing w:after="160"/>
      </w:pPr>
      <w:r>
        <w:rPr>
          <w:color w:val="222222"/>
          <w:sz w:val="21"/>
          <w:szCs w:val="21"/>
        </w:rPr>
        <w:t xml:space="preserve">A secondary objective is to extract every finding the data can honestly support — monthly performance trends, brand and product concentration, segment mix, and unit economics — while explicitly noting where the underlying data limits the analysis, such as the absence of true transaction-level dates and the partial coverage of the final month.</w:t>
      </w:r>
    </w:p>
    <w:p>
      <w:pPr>
        <w:pStyle w:val="Heading1"/>
        <w:spacing w:after="160" w:before="360"/>
      </w:pPr>
      <w:r>
        <w:rPr>
          <w:b/>
          <w:bCs/>
          <w:color w:val="1F3864"/>
          <w:sz w:val="28"/>
          <w:szCs w:val="28"/>
        </w:rPr>
        <w:t xml:space="preserve">2. Dataset Overview</w:t>
      </w:r>
    </w:p>
    <w:p>
      <w:pPr>
        <w:spacing w:after="160"/>
      </w:pPr>
      <w:r>
        <w:rPr>
          <w:color w:val="222222"/>
          <w:sz w:val="21"/>
          <w:szCs w:val="21"/>
        </w:rPr>
        <w:t xml:space="preserve">The source file is a retail sales extract covering five reporting months for a bicycle and e-bike dealer, spanning bicycles, e-bikes/EV vehicles, EV parts, kids' ride-ons, and accessories &amp; spares.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rPr>
          <w:tblHeader/>
        </w:trPr>
        <w:tc>
          <w:tcPr>
            <w:tcW w:type="dxa" w:w="3200"/>
            <w:shd w:fill="1F3864" w:color="auto" w:val="clear"/>
            <w:tcMar>
              <w:top w:type="dxa" w:w="60"/>
              <w:left w:type="dxa" w:w="100"/>
              <w:bottom w:type="dxa" w:w="60"/>
              <w:right w:type="dxa" w:w="100"/>
            </w:tcMar>
            <w:vAlign w:val="center"/>
          </w:tcPr>
          <w:p>
            <w:pPr>
              <w:jc w:val="left"/>
            </w:pPr>
            <w:r>
              <w:rPr>
                <w:b/>
                <w:bCs/>
                <w:color w:val="FFFFFF"/>
                <w:sz w:val="19"/>
                <w:szCs w:val="19"/>
              </w:rPr>
              <w:t xml:space="preserve">Property</w:t>
            </w:r>
          </w:p>
        </w:tc>
        <w:tc>
          <w:tcPr>
            <w:tcW w:type="dxa" w:w="6220"/>
            <w:shd w:fill="1F3864" w:color="auto"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3200"/>
            <w:tcMar>
              <w:top w:type="dxa" w:w="60"/>
              <w:left w:type="dxa" w:w="100"/>
              <w:bottom w:type="dxa" w:w="60"/>
              <w:right w:type="dxa" w:w="100"/>
            </w:tcMar>
            <w:vAlign w:val="center"/>
          </w:tcPr>
          <w:p>
            <w:pPr>
              <w:jc w:val="left"/>
            </w:pPr>
            <w:r>
              <w:rPr>
                <w:b w:val="false"/>
                <w:bCs w:val="false"/>
                <w:color w:val="222222"/>
                <w:sz w:val="19"/>
                <w:szCs w:val="19"/>
              </w:rPr>
              <w:t xml:space="preserve">Transaction lines</w:t>
            </w:r>
          </w:p>
        </w:tc>
        <w:tc>
          <w:tcPr>
            <w:tcW w:type="dxa" w:w="6220"/>
            <w:tcMar>
              <w:top w:type="dxa" w:w="60"/>
              <w:left w:type="dxa" w:w="100"/>
              <w:bottom w:type="dxa" w:w="60"/>
              <w:right w:type="dxa" w:w="100"/>
            </w:tcMar>
            <w:vAlign w:val="center"/>
          </w:tcPr>
          <w:p>
            <w:pPr>
              <w:jc w:val="center"/>
            </w:pPr>
            <w:r>
              <w:rPr>
                <w:b w:val="false"/>
                <w:bCs w:val="false"/>
                <w:color w:val="222222"/>
                <w:sz w:val="19"/>
                <w:szCs w:val="19"/>
              </w:rPr>
              <w:t xml:space="preserve">1,257</w:t>
            </w:r>
          </w:p>
        </w:tc>
      </w:tr>
      <w:tr>
        <w:tc>
          <w:tcPr>
            <w:tcW w:type="dxa" w:w="3200"/>
            <w:shd w:fill="F2F2F2" w:color="auto" w:val="clear"/>
            <w:tcMar>
              <w:top w:type="dxa" w:w="60"/>
              <w:left w:type="dxa" w:w="100"/>
              <w:bottom w:type="dxa" w:w="60"/>
              <w:right w:type="dxa" w:w="100"/>
            </w:tcMar>
            <w:vAlign w:val="center"/>
          </w:tcPr>
          <w:p>
            <w:pPr>
              <w:jc w:val="left"/>
            </w:pPr>
            <w:r>
              <w:rPr>
                <w:b/>
                <w:bCs/>
                <w:color w:val="222222"/>
                <w:sz w:val="19"/>
                <w:szCs w:val="19"/>
              </w:rPr>
              <w:t xml:space="preserve">Total units sold</w:t>
            </w:r>
          </w:p>
        </w:tc>
        <w:tc>
          <w:tcPr>
            <w:tcW w:type="dxa" w:w="6220"/>
            <w:shd w:fill="F2F2F2" w:color="auto" w:val="clear"/>
            <w:tcMar>
              <w:top w:type="dxa" w:w="60"/>
              <w:left w:type="dxa" w:w="100"/>
              <w:bottom w:type="dxa" w:w="60"/>
              <w:right w:type="dxa" w:w="100"/>
            </w:tcMar>
            <w:vAlign w:val="center"/>
          </w:tcPr>
          <w:p>
            <w:pPr>
              <w:jc w:val="center"/>
            </w:pPr>
            <w:r>
              <w:rPr>
                <w:b/>
                <w:bCs/>
                <w:color w:val="222222"/>
                <w:sz w:val="19"/>
                <w:szCs w:val="19"/>
              </w:rPr>
              <w:t xml:space="preserve">3,013</w:t>
            </w:r>
          </w:p>
        </w:tc>
      </w:tr>
      <w:tr>
        <w:tc>
          <w:tcPr>
            <w:tcW w:type="dxa" w:w="3200"/>
            <w:tcMar>
              <w:top w:type="dxa" w:w="60"/>
              <w:left w:type="dxa" w:w="100"/>
              <w:bottom w:type="dxa" w:w="60"/>
              <w:right w:type="dxa" w:w="100"/>
            </w:tcMar>
            <w:vAlign w:val="center"/>
          </w:tcPr>
          <w:p>
            <w:pPr>
              <w:jc w:val="left"/>
            </w:pPr>
            <w:r>
              <w:rPr>
                <w:b/>
                <w:bCs/>
                <w:color w:val="222222"/>
                <w:sz w:val="19"/>
                <w:szCs w:val="19"/>
              </w:rPr>
              <w:t xml:space="preserve">Total revenue</w:t>
            </w:r>
          </w:p>
        </w:tc>
        <w:tc>
          <w:tcPr>
            <w:tcW w:type="dxa" w:w="6220"/>
            <w:tcMar>
              <w:top w:type="dxa" w:w="60"/>
              <w:left w:type="dxa" w:w="100"/>
              <w:bottom w:type="dxa" w:w="60"/>
              <w:right w:type="dxa" w:w="100"/>
            </w:tcMar>
            <w:vAlign w:val="center"/>
          </w:tcPr>
          <w:p>
            <w:pPr>
              <w:jc w:val="center"/>
            </w:pPr>
            <w:r>
              <w:rPr>
                <w:b/>
                <w:bCs/>
                <w:color w:val="222222"/>
                <w:sz w:val="19"/>
                <w:szCs w:val="19"/>
              </w:rPr>
              <w:t xml:space="preserve">Rs. 1,94,29,127.19</w:t>
            </w:r>
          </w:p>
        </w:tc>
      </w:tr>
      <w:tr>
        <w:tc>
          <w:tcPr>
            <w:tcW w:type="dxa" w:w="32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Unique products (SKUs)</w:t>
            </w:r>
          </w:p>
        </w:tc>
        <w:tc>
          <w:tcPr>
            <w:tcW w:type="dxa" w:w="62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627</w:t>
            </w:r>
          </w:p>
        </w:tc>
      </w:tr>
      <w:tr>
        <w:tc>
          <w:tcPr>
            <w:tcW w:type="dxa" w:w="3200"/>
            <w:tcMar>
              <w:top w:type="dxa" w:w="60"/>
              <w:left w:type="dxa" w:w="100"/>
              <w:bottom w:type="dxa" w:w="60"/>
              <w:right w:type="dxa" w:w="100"/>
            </w:tcMar>
            <w:vAlign w:val="center"/>
          </w:tcPr>
          <w:p>
            <w:pPr>
              <w:jc w:val="left"/>
            </w:pPr>
            <w:r>
              <w:rPr>
                <w:b w:val="false"/>
                <w:bCs w:val="false"/>
                <w:color w:val="222222"/>
                <w:sz w:val="19"/>
                <w:szCs w:val="19"/>
              </w:rPr>
              <w:t xml:space="preserve">Brands (derived)</w:t>
            </w:r>
          </w:p>
        </w:tc>
        <w:tc>
          <w:tcPr>
            <w:tcW w:type="dxa" w:w="6220"/>
            <w:tcMar>
              <w:top w:type="dxa" w:w="60"/>
              <w:left w:type="dxa" w:w="100"/>
              <w:bottom w:type="dxa" w:w="60"/>
              <w:right w:type="dxa" w:w="100"/>
            </w:tcMar>
            <w:vAlign w:val="center"/>
          </w:tcPr>
          <w:p>
            <w:pPr>
              <w:jc w:val="center"/>
            </w:pPr>
            <w:r>
              <w:rPr>
                <w:b w:val="false"/>
                <w:bCs w:val="false"/>
                <w:color w:val="222222"/>
                <w:sz w:val="19"/>
                <w:szCs w:val="19"/>
              </w:rPr>
              <w:t xml:space="preserve">37</w:t>
            </w:r>
          </w:p>
        </w:tc>
      </w:tr>
      <w:tr>
        <w:tc>
          <w:tcPr>
            <w:tcW w:type="dxa" w:w="32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Reporting period</w:t>
            </w:r>
          </w:p>
        </w:tc>
        <w:tc>
          <w:tcPr>
            <w:tcW w:type="dxa" w:w="62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April 2026 – August 2026</w:t>
            </w:r>
          </w:p>
        </w:tc>
      </w:tr>
      <w:tr>
        <w:tc>
          <w:tcPr>
            <w:tcW w:type="dxa" w:w="3200"/>
            <w:tcMar>
              <w:top w:type="dxa" w:w="60"/>
              <w:left w:type="dxa" w:w="100"/>
              <w:bottom w:type="dxa" w:w="60"/>
              <w:right w:type="dxa" w:w="100"/>
            </w:tcMar>
            <w:vAlign w:val="center"/>
          </w:tcPr>
          <w:p>
            <w:pPr>
              <w:jc w:val="left"/>
            </w:pPr>
            <w:r>
              <w:rPr>
                <w:b w:val="false"/>
                <w:bCs w:val="false"/>
                <w:color w:val="222222"/>
                <w:sz w:val="19"/>
                <w:szCs w:val="19"/>
              </w:rPr>
              <w:t xml:space="preserve">Coverage status</w:t>
            </w:r>
          </w:p>
        </w:tc>
        <w:tc>
          <w:tcPr>
            <w:tcW w:type="dxa" w:w="6220"/>
            <w:tcMar>
              <w:top w:type="dxa" w:w="60"/>
              <w:left w:type="dxa" w:w="100"/>
              <w:bottom w:type="dxa" w:w="60"/>
              <w:right w:type="dxa" w:w="100"/>
            </w:tcMar>
            <w:vAlign w:val="center"/>
          </w:tcPr>
          <w:p>
            <w:pPr>
              <w:jc w:val="center"/>
            </w:pPr>
            <w:r>
              <w:rPr>
                <w:b w:val="false"/>
                <w:bCs w:val="false"/>
                <w:color w:val="222222"/>
                <w:sz w:val="19"/>
                <w:szCs w:val="19"/>
              </w:rPr>
              <w:t xml:space="preserve">April–July: Full Month · August: Partial Month (1–5 Aug only)</w:t>
            </w:r>
          </w:p>
        </w:tc>
      </w:tr>
      <w:tr>
        <w:tc>
          <w:tcPr>
            <w:tcW w:type="dxa" w:w="32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Columns in source</w:t>
            </w:r>
          </w:p>
        </w:tc>
        <w:tc>
          <w:tcPr>
            <w:tcW w:type="dxa" w:w="62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Period_Start_Date, Period_End_Date, Month, Product, Quantity, Revenue, Status, Source</w:t>
            </w:r>
          </w:p>
        </w:tc>
      </w:tr>
      <w:tr>
        <w:tc>
          <w:tcPr>
            <w:tcW w:type="dxa" w:w="3200"/>
            <w:tcMar>
              <w:top w:type="dxa" w:w="60"/>
              <w:left w:type="dxa" w:w="100"/>
              <w:bottom w:type="dxa" w:w="60"/>
              <w:right w:type="dxa" w:w="100"/>
            </w:tcMar>
            <w:vAlign w:val="center"/>
          </w:tcPr>
          <w:p>
            <w:pPr>
              <w:jc w:val="left"/>
            </w:pPr>
            <w:r>
              <w:rPr>
                <w:b w:val="false"/>
                <w:bCs w:val="false"/>
                <w:color w:val="222222"/>
                <w:sz w:val="19"/>
                <w:szCs w:val="19"/>
              </w:rPr>
              <w:t xml:space="preserve">Columns derived</w:t>
            </w:r>
          </w:p>
        </w:tc>
        <w:tc>
          <w:tcPr>
            <w:tcW w:type="dxa" w:w="6220"/>
            <w:tcMar>
              <w:top w:type="dxa" w:w="60"/>
              <w:left w:type="dxa" w:w="100"/>
              <w:bottom w:type="dxa" w:w="60"/>
              <w:right w:type="dxa" w:w="100"/>
            </w:tcMar>
            <w:vAlign w:val="center"/>
          </w:tcPr>
          <w:p>
            <w:pPr>
              <w:jc w:val="center"/>
            </w:pPr>
            <w:r>
              <w:rPr>
                <w:b w:val="false"/>
                <w:bCs w:val="false"/>
                <w:color w:val="222222"/>
                <w:sz w:val="19"/>
                <w:szCs w:val="19"/>
              </w:rPr>
              <w:t xml:space="preserve">Brand, Segment, Unit_Price</w:t>
            </w:r>
          </w:p>
        </w:tc>
      </w:tr>
    </w:tbl>
    <w:p>
      <w:pPr>
        <w:pStyle w:val="Heading1"/>
        <w:spacing w:after="160" w:before="360"/>
      </w:pPr>
      <w:r>
        <w:rPr>
          <w:b/>
          <w:bCs/>
          <w:color w:val="1F3864"/>
          <w:sz w:val="28"/>
          <w:szCs w:val="28"/>
        </w:rPr>
        <w:t xml:space="preserve">3. Feature Engineering &amp; Data Quality Findings</w:t>
      </w:r>
    </w:p>
    <w:p>
      <w:pPr>
        <w:spacing w:after="160"/>
      </w:pPr>
      <w:r>
        <w:rPr>
          <w:color w:val="222222"/>
          <w:sz w:val="21"/>
          <w:szCs w:val="21"/>
        </w:rPr>
        <w:t xml:space="preserve">Unlike a raw export riddled with structural errors, this source file was already row-clean. The analytical work here centred on deriving the dimensions needed for a commercial dashboard, none of which existed in the raw extract.</w:t>
      </w:r>
    </w:p>
    <w:p>
      <w:pPr>
        <w:pStyle w:val="Heading2"/>
        <w:spacing w:after="120" w:before="240"/>
      </w:pPr>
      <w:r>
        <w:rPr>
          <w:b/>
          <w:bCs/>
          <w:color w:val="1F3864"/>
          <w:sz w:val="24"/>
          <w:szCs w:val="24"/>
        </w:rPr>
        <w:t xml:space="preserve">3.1 Reporting-period dates, not transaction dates</w:t>
      </w:r>
    </w:p>
    <w:p>
      <w:pPr>
        <w:spacing w:after="160"/>
      </w:pPr>
      <w:r>
        <w:rPr>
          <w:color w:val="222222"/>
          <w:sz w:val="21"/>
          <w:szCs w:val="21"/>
        </w:rPr>
        <w:t xml:space="preserve">Period_Start_Date and Period_End_Date describe the reporting window each row belongs to (e.g. 1–30 April 2026), not the date of an individual sale. As a result, all time-based analysis in this project is at month granularity — day-of-week or daily seasonality cannot be derived from this dataset.</w:t>
      </w:r>
    </w:p>
    <w:p>
      <w:pPr>
        <w:pStyle w:val="Heading2"/>
        <w:spacing w:after="120" w:before="240"/>
      </w:pPr>
      <w:r>
        <w:rPr>
          <w:b/>
          <w:bCs/>
          <w:color w:val="1F3864"/>
          <w:sz w:val="24"/>
          <w:szCs w:val="24"/>
        </w:rPr>
        <w:t xml:space="preserve">3.2 August is a partial month</w:t>
      </w:r>
    </w:p>
    <w:p>
      <w:pPr>
        <w:spacing w:after="160"/>
      </w:pPr>
      <w:r>
        <w:rPr>
          <w:color w:val="222222"/>
          <w:sz w:val="21"/>
          <w:szCs w:val="21"/>
        </w:rPr>
        <w:t xml:space="preserve">August 2026 covers only 1–5 August and is flagged Partial Month in the Status field, versus Full Month for April through July. August's Rs. 7,33,197 in revenue is therefore not comparable to a full month and is excluded whenever the weakest full month is identified.</w:t>
      </w:r>
    </w:p>
    <w:p>
      <w:pPr>
        <w:pStyle w:val="Heading2"/>
        <w:spacing w:after="120" w:before="240"/>
      </w:pPr>
      <w:r>
        <w:rPr>
          <w:b/>
          <w:bCs/>
          <w:color w:val="1F3864"/>
          <w:sz w:val="24"/>
          <w:szCs w:val="24"/>
        </w:rPr>
        <w:t xml:space="preserve">3.3 Brand and Segment were not present in the source</w:t>
      </w:r>
    </w:p>
    <w:p>
      <w:pPr>
        <w:spacing w:after="160"/>
      </w:pPr>
      <w:r>
        <w:rPr>
          <w:color w:val="222222"/>
          <w:sz w:val="21"/>
          <w:szCs w:val="21"/>
        </w:rPr>
        <w:t xml:space="preserve">Brand (37 distinct values) and Segment (five categories: Bicycle, E-Bike/EV Vehicle, EV Parts &amp; Components, Kids &amp; Ride-On, Accessories &amp; Spares) do not exist as source columns. Both were derived using rule-based matching against the Product description field. A small number of generic items that did not match a known brand pattern were grouped into an "Other" bucket.</w:t>
      </w:r>
    </w:p>
    <w:p>
      <w:pPr>
        <w:pStyle w:val="Heading2"/>
        <w:spacing w:after="120" w:before="240"/>
      </w:pPr>
      <w:r>
        <w:rPr>
          <w:b/>
          <w:bCs/>
          <w:color w:val="1F3864"/>
          <w:sz w:val="24"/>
          <w:szCs w:val="24"/>
        </w:rPr>
        <w:t xml:space="preserve">3.4 Unit_Price is a derived field</w:t>
      </w:r>
    </w:p>
    <w:p>
      <w:pPr>
        <w:spacing w:after="160"/>
      </w:pPr>
      <w:r>
        <w:rPr>
          <w:color w:val="222222"/>
          <w:sz w:val="21"/>
          <w:szCs w:val="21"/>
        </w:rPr>
        <w:t xml:space="preserve">Unit_Price was computed as Revenue divided by Quantity for each line, rather than taken from source, since the extract carries only line-level revenue and quantity totals.</w:t>
      </w:r>
    </w:p>
    <w:p>
      <w:pPr>
        <w:pStyle w:val="Heading2"/>
        <w:spacing w:after="120" w:before="240"/>
      </w:pPr>
      <w:r>
        <w:rPr>
          <w:b/>
          <w:bCs/>
          <w:color w:val="1F3864"/>
          <w:sz w:val="24"/>
          <w:szCs w:val="24"/>
        </w:rPr>
        <w:t xml:space="preserve">3.5 Portfolio breadth</w:t>
      </w:r>
    </w:p>
    <w:p>
      <w:pPr>
        <w:spacing w:after="160"/>
      </w:pPr>
      <w:r>
        <w:rPr>
          <w:color w:val="222222"/>
          <w:sz w:val="21"/>
          <w:szCs w:val="21"/>
        </w:rPr>
        <w:t xml:space="preserve">627 unique SKUs across 37 brands sit underneath 1,257 transaction lines — an average of roughly two lines per SKU. This breadth is real, not a data-quality artefact, but it flattens per-product volumes and makes brand-level and segment-level aggregation more informative than SKU-level detail for most commercial questions.</w:t>
      </w:r>
    </w:p>
    <w:p>
      <w:pPr>
        <w:pStyle w:val="Heading1"/>
        <w:spacing w:after="160" w:before="360"/>
      </w:pPr>
      <w:r>
        <w:rPr>
          <w:b/>
          <w:bCs/>
          <w:color w:val="1F3864"/>
          <w:sz w:val="28"/>
          <w:szCs w:val="28"/>
        </w:rPr>
        <w:t xml:space="preserve">4. Methodology</w:t>
      </w:r>
    </w:p>
    <w:p>
      <w:pPr>
        <w:spacing w:after="160"/>
      </w:pPr>
      <w:r>
        <w:rPr>
          <w:color w:val="222222"/>
          <w:sz w:val="21"/>
          <w:szCs w:val="21"/>
        </w:rPr>
        <w:t xml:space="preserve">Cleaning and analysis followed a fixed sequence so that every downstream figure can be traced back to a specific transformation step.</w:t>
      </w:r>
    </w:p>
    <w:p>
      <w:pPr>
        <w:pStyle w:val="ListParagraph"/>
        <w:numPr>
          <w:ilvl w:val="0"/>
          <w:numId w:val="1"/>
        </w:numPr>
        <w:spacing w:after="80"/>
      </w:pPr>
      <w:r>
        <w:rPr>
          <w:color w:val="222222"/>
          <w:sz w:val="21"/>
          <w:szCs w:val="21"/>
        </w:rPr>
        <w:t xml:space="preserve">Profiling — inspected structure, data types and completeness of the raw extract.</w:t>
      </w:r>
    </w:p>
    <w:p>
      <w:pPr>
        <w:pStyle w:val="ListParagraph"/>
        <w:numPr>
          <w:ilvl w:val="0"/>
          <w:numId w:val="1"/>
        </w:numPr>
        <w:spacing w:after="80"/>
      </w:pPr>
      <w:r>
        <w:rPr>
          <w:color w:val="222222"/>
          <w:sz w:val="21"/>
          <w:szCs w:val="21"/>
        </w:rPr>
        <w:t xml:space="preserve">Cleaning — verified row counts and revenue totals against the source document's control totals.</w:t>
      </w:r>
    </w:p>
    <w:p>
      <w:pPr>
        <w:pStyle w:val="ListParagraph"/>
        <w:numPr>
          <w:ilvl w:val="0"/>
          <w:numId w:val="1"/>
        </w:numPr>
        <w:spacing w:after="80"/>
      </w:pPr>
      <w:r>
        <w:rPr>
          <w:color w:val="222222"/>
          <w:sz w:val="21"/>
          <w:szCs w:val="21"/>
        </w:rPr>
        <w:t xml:space="preserve">Feature engineering — parsed Brand from product names; classified each SKU into a Segment; computed Unit_Price as Revenue ÷ Quantity.</w:t>
      </w:r>
    </w:p>
    <w:p>
      <w:pPr>
        <w:pStyle w:val="ListParagraph"/>
        <w:numPr>
          <w:ilvl w:val="0"/>
          <w:numId w:val="1"/>
        </w:numPr>
        <w:spacing w:after="80"/>
      </w:pPr>
      <w:r>
        <w:rPr>
          <w:color w:val="222222"/>
          <w:sz w:val="21"/>
          <w:szCs w:val="21"/>
        </w:rPr>
        <w:t xml:space="preserve">Aggregation — built month, product, brand and segment summaries using SUMIF, SUMIFS and COUNTIF formulas linked live to the cleaned data.</w:t>
      </w:r>
    </w:p>
    <w:p>
      <w:pPr>
        <w:pStyle w:val="ListParagraph"/>
        <w:numPr>
          <w:ilvl w:val="0"/>
          <w:numId w:val="1"/>
        </w:numPr>
        <w:spacing w:after="80"/>
      </w:pPr>
      <w:r>
        <w:rPr>
          <w:color w:val="222222"/>
          <w:sz w:val="21"/>
          <w:szCs w:val="21"/>
        </w:rPr>
        <w:t xml:space="preserve">Analysis — measured Pareto (80/20) concentration across brands and products, month-on-month growth, and segment revenue/volume mix.</w:t>
      </w:r>
    </w:p>
    <w:p>
      <w:pPr>
        <w:pStyle w:val="ListParagraph"/>
        <w:numPr>
          <w:ilvl w:val="0"/>
          <w:numId w:val="1"/>
        </w:numPr>
        <w:spacing w:after="80"/>
      </w:pPr>
      <w:r>
        <w:rPr>
          <w:color w:val="222222"/>
          <w:sz w:val="21"/>
          <w:szCs w:val="21"/>
        </w:rPr>
        <w:t xml:space="preserve">Visualisation — built a KPI dashboard with native Excel column, line, bar and doughnut charts.</w:t>
      </w:r>
    </w:p>
    <w:p>
      <w:pPr>
        <w:pStyle w:val="ListParagraph"/>
        <w:numPr>
          <w:ilvl w:val="0"/>
          <w:numId w:val="1"/>
        </w:numPr>
        <w:spacing w:after="80"/>
      </w:pPr>
      <w:r>
        <w:rPr>
          <w:color w:val="222222"/>
          <w:sz w:val="21"/>
          <w:szCs w:val="21"/>
        </w:rPr>
        <w:t xml:space="preserve">Recommendation — translated findings into commercial actions.</w:t>
      </w:r>
    </w:p>
    <w:p>
      <w:pPr>
        <w:pStyle w:val="Heading1"/>
        <w:spacing w:after="160" w:before="360"/>
      </w:pPr>
      <w:r>
        <w:rPr>
          <w:b/>
          <w:bCs/>
          <w:color w:val="1F3864"/>
          <w:sz w:val="28"/>
          <w:szCs w:val="28"/>
        </w:rPr>
        <w:t xml:space="preserve">5. Validation</w:t>
      </w:r>
    </w:p>
    <w:p>
      <w:pPr>
        <w:spacing w:after="160"/>
      </w:pPr>
      <w:r>
        <w:rPr>
          <w:color w:val="222222"/>
          <w:sz w:val="21"/>
          <w:szCs w:val="21"/>
        </w:rPr>
        <w:t xml:space="preserve">The cleaned dataset reconciles exactly to the source document's control totals: 1,257 records and Rs. 1,94,29,127.19 in total revenue, matched month by month and in aggregate.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2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Check</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Expected</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Actual</w:t>
            </w:r>
          </w:p>
        </w:tc>
        <w:tc>
          <w:tcPr>
            <w:tcW w:type="dxa" w:w="1820"/>
            <w:shd w:fill="1F3864" w:color="auto" w:val="clear"/>
            <w:tcMar>
              <w:top w:type="dxa" w:w="60"/>
              <w:left w:type="dxa" w:w="100"/>
              <w:bottom w:type="dxa" w:w="60"/>
              <w:right w:type="dxa" w:w="100"/>
            </w:tcMar>
            <w:vAlign w:val="center"/>
          </w:tcPr>
          <w:p>
            <w:pPr>
              <w:jc w:val="center"/>
            </w:pPr>
            <w:r>
              <w:rPr>
                <w:b/>
                <w:bCs/>
                <w:color w:val="FFFFFF"/>
                <w:sz w:val="19"/>
                <w:szCs w:val="19"/>
              </w:rPr>
              <w:t xml:space="preserve">Result</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April records</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297</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297</w:t>
            </w:r>
          </w:p>
        </w:tc>
        <w:tc>
          <w:tcPr>
            <w:tcW w:type="dxa" w:w="1820"/>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May records</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286</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286</w:t>
            </w:r>
          </w:p>
        </w:tc>
        <w:tc>
          <w:tcPr>
            <w:tcW w:type="dxa" w:w="18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June records</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350</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350</w:t>
            </w:r>
          </w:p>
        </w:tc>
        <w:tc>
          <w:tcPr>
            <w:tcW w:type="dxa" w:w="1820"/>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July records</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256</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256</w:t>
            </w:r>
          </w:p>
        </w:tc>
        <w:tc>
          <w:tcPr>
            <w:tcW w:type="dxa" w:w="18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August records</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68</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68</w:t>
            </w:r>
          </w:p>
        </w:tc>
        <w:tc>
          <w:tcPr>
            <w:tcW w:type="dxa" w:w="1820"/>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Grand records</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1,257</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1,257</w:t>
            </w:r>
          </w:p>
        </w:tc>
        <w:tc>
          <w:tcPr>
            <w:tcW w:type="dxa" w:w="18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Grand revenue</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Rs. 1,94,29,127.19</w:t>
            </w:r>
          </w:p>
        </w:tc>
        <w:tc>
          <w:tcPr>
            <w:tcW w:type="dxa" w:w="2400"/>
            <w:tcMar>
              <w:top w:type="dxa" w:w="60"/>
              <w:left w:type="dxa" w:w="100"/>
              <w:bottom w:type="dxa" w:w="60"/>
              <w:right w:type="dxa" w:w="100"/>
            </w:tcMar>
            <w:vAlign w:val="center"/>
          </w:tcPr>
          <w:p>
            <w:pPr>
              <w:jc w:val="center"/>
            </w:pPr>
            <w:r>
              <w:rPr>
                <w:b w:val="false"/>
                <w:bCs w:val="false"/>
                <w:color w:val="222222"/>
                <w:sz w:val="19"/>
                <w:szCs w:val="19"/>
              </w:rPr>
              <w:t xml:space="preserve">Rs. 1,94,29,127.19</w:t>
            </w:r>
          </w:p>
        </w:tc>
        <w:tc>
          <w:tcPr>
            <w:tcW w:type="dxa" w:w="1820"/>
            <w:tcMar>
              <w:top w:type="dxa" w:w="60"/>
              <w:left w:type="dxa" w:w="100"/>
              <w:bottom w:type="dxa" w:w="60"/>
              <w:right w:type="dxa" w:w="100"/>
            </w:tcMar>
            <w:vAlign w:val="center"/>
          </w:tcPr>
          <w:p>
            <w:pPr>
              <w:jc w:val="center"/>
            </w:pPr>
            <w:r>
              <w:rPr>
                <w:b w:val="false"/>
                <w:bCs w:val="false"/>
                <w:color w:val="222222"/>
                <w:sz w:val="19"/>
                <w:szCs w:val="19"/>
              </w:rPr>
              <w:t xml:space="preserve">PASSED</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August status</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Partial Month</w:t>
            </w:r>
          </w:p>
        </w:tc>
        <w:tc>
          <w:tcPr>
            <w:tcW w:type="dxa" w:w="24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Partial Month</w:t>
            </w:r>
          </w:p>
        </w:tc>
        <w:tc>
          <w:tcPr>
            <w:tcW w:type="dxa" w:w="18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PASSED</w:t>
            </w:r>
          </w:p>
        </w:tc>
      </w:tr>
    </w:tbl>
    <w:p>
      <w:pPr>
        <w:spacing w:after="160"/>
      </w:pPr>
      <w:r>
        <w:rPr>
          <w:i/>
          <w:iCs/>
          <w:color w:val="222222"/>
          <w:sz w:val="21"/>
          <w:szCs w:val="21"/>
        </w:rPr>
        <w:t xml:space="preserve">No revenue or record count was lost, duplicated, or misclassified during feature engineering.</w:t>
      </w:r>
    </w:p>
    <w:p>
      <w:pPr>
        <w:pStyle w:val="Heading1"/>
        <w:spacing w:after="160" w:before="360"/>
      </w:pPr>
      <w:r>
        <w:rPr>
          <w:b/>
          <w:bCs/>
          <w:color w:val="1F3864"/>
          <w:sz w:val="28"/>
          <w:szCs w:val="28"/>
        </w:rPr>
        <w:t xml:space="preserve">6. Analysis and Findings</w:t>
      </w:r>
    </w:p>
    <w:p>
      <w:pPr>
        <w:pStyle w:val="Heading2"/>
        <w:spacing w:after="120" w:before="240"/>
      </w:pPr>
      <w:r>
        <w:rPr>
          <w:b/>
          <w:bCs/>
          <w:color w:val="1F3864"/>
          <w:sz w:val="24"/>
          <w:szCs w:val="24"/>
        </w:rPr>
        <w:t xml:space="preserve">6.1 Monthly performance</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1600"/>
        <w:gridCol w:w="1080"/>
        <w:gridCol w:w="900"/>
        <w:gridCol w:w="900"/>
        <w:gridCol w:w="1900"/>
        <w:gridCol w:w="1900"/>
        <w:gridCol w:w="1340"/>
      </w:tblGrid>
      <w:tr>
        <w:trPr>
          <w:tblHeader/>
        </w:trPr>
        <w:tc>
          <w:tcPr>
            <w:tcW w:type="dxa" w:w="1600"/>
            <w:shd w:fill="1F3864" w:color="auto" w:val="clear"/>
            <w:tcMar>
              <w:top w:type="dxa" w:w="60"/>
              <w:left w:type="dxa" w:w="100"/>
              <w:bottom w:type="dxa" w:w="60"/>
              <w:right w:type="dxa" w:w="100"/>
            </w:tcMar>
            <w:vAlign w:val="center"/>
          </w:tcPr>
          <w:p>
            <w:pPr>
              <w:jc w:val="left"/>
            </w:pPr>
            <w:r>
              <w:rPr>
                <w:b/>
                <w:bCs/>
                <w:color w:val="FFFFFF"/>
                <w:sz w:val="19"/>
                <w:szCs w:val="19"/>
              </w:rPr>
              <w:t xml:space="preserve">Month</w:t>
            </w:r>
          </w:p>
        </w:tc>
        <w:tc>
          <w:tcPr>
            <w:tcW w:type="dxa" w:w="1080"/>
            <w:shd w:fill="1F3864" w:color="auto" w:val="clear"/>
            <w:tcMar>
              <w:top w:type="dxa" w:w="60"/>
              <w:left w:type="dxa" w:w="100"/>
              <w:bottom w:type="dxa" w:w="60"/>
              <w:right w:type="dxa" w:w="100"/>
            </w:tcMar>
            <w:vAlign w:val="center"/>
          </w:tcPr>
          <w:p>
            <w:pPr>
              <w:jc w:val="center"/>
            </w:pPr>
            <w:r>
              <w:rPr>
                <w:b/>
                <w:bCs/>
                <w:color w:val="FFFFFF"/>
                <w:sz w:val="19"/>
                <w:szCs w:val="19"/>
              </w:rPr>
              <w:t xml:space="preserve">Status</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Txns</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Units</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Revenue (Rs.)</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Avg Order Value</w:t>
            </w:r>
          </w:p>
        </w:tc>
        <w:tc>
          <w:tcPr>
            <w:tcW w:type="dxa" w:w="1340"/>
            <w:shd w:fill="1F3864" w:color="auto" w:val="clear"/>
            <w:tcMar>
              <w:top w:type="dxa" w:w="60"/>
              <w:left w:type="dxa" w:w="100"/>
              <w:bottom w:type="dxa" w:w="60"/>
              <w:right w:type="dxa" w:w="100"/>
            </w:tcMar>
            <w:vAlign w:val="center"/>
          </w:tcPr>
          <w:p>
            <w:pPr>
              <w:jc w:val="center"/>
            </w:pPr>
            <w:r>
              <w:rPr>
                <w:b/>
                <w:bCs/>
                <w:color w:val="FFFFFF"/>
                <w:sz w:val="19"/>
                <w:szCs w:val="19"/>
              </w:rPr>
              <w:t xml:space="preserve">MoM Growth</w:t>
            </w:r>
          </w:p>
        </w:tc>
      </w:tr>
      <w:tr>
        <w:tc>
          <w:tcPr>
            <w:tcW w:type="dxa" w:w="1600"/>
            <w:tcMar>
              <w:top w:type="dxa" w:w="60"/>
              <w:left w:type="dxa" w:w="100"/>
              <w:bottom w:type="dxa" w:w="60"/>
              <w:right w:type="dxa" w:w="100"/>
            </w:tcMar>
            <w:vAlign w:val="center"/>
          </w:tcPr>
          <w:p>
            <w:pPr>
              <w:jc w:val="left"/>
            </w:pPr>
            <w:r>
              <w:rPr>
                <w:b w:val="false"/>
                <w:bCs w:val="false"/>
                <w:color w:val="222222"/>
                <w:sz w:val="19"/>
                <w:szCs w:val="19"/>
              </w:rPr>
              <w:t xml:space="preserve">April 2026</w:t>
            </w:r>
          </w:p>
        </w:tc>
        <w:tc>
          <w:tcPr>
            <w:tcW w:type="dxa" w:w="1080"/>
            <w:tcMar>
              <w:top w:type="dxa" w:w="60"/>
              <w:left w:type="dxa" w:w="100"/>
              <w:bottom w:type="dxa" w:w="60"/>
              <w:right w:type="dxa" w:w="100"/>
            </w:tcMar>
            <w:vAlign w:val="center"/>
          </w:tcPr>
          <w:p>
            <w:pPr>
              <w:jc w:val="center"/>
            </w:pPr>
            <w:r>
              <w:rPr>
                <w:b w:val="false"/>
                <w:bCs w:val="false"/>
                <w:color w:val="222222"/>
                <w:sz w:val="19"/>
                <w:szCs w:val="19"/>
              </w:rPr>
              <w:t xml:space="preserve">Full</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297</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705</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46,30,478.98</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15,591</w:t>
            </w:r>
          </w:p>
        </w:tc>
        <w:tc>
          <w:tcPr>
            <w:tcW w:type="dxa" w:w="1340"/>
            <w:tcMar>
              <w:top w:type="dxa" w:w="60"/>
              <w:left w:type="dxa" w:w="100"/>
              <w:bottom w:type="dxa" w:w="60"/>
              <w:right w:type="dxa" w:w="100"/>
            </w:tcMar>
            <w:vAlign w:val="center"/>
          </w:tcPr>
          <w:p>
            <w:pPr>
              <w:jc w:val="center"/>
            </w:pPr>
            <w:r>
              <w:rPr>
                <w:b w:val="false"/>
                <w:bCs w:val="false"/>
                <w:color w:val="222222"/>
                <w:sz w:val="19"/>
                <w:szCs w:val="19"/>
              </w:rPr>
              <w:t xml:space="preserve">—</w:t>
            </w:r>
          </w:p>
        </w:tc>
      </w:tr>
      <w:tr>
        <w:tc>
          <w:tcPr>
            <w:tcW w:type="dxa" w:w="16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May 2026</w:t>
            </w:r>
          </w:p>
        </w:tc>
        <w:tc>
          <w:tcPr>
            <w:tcW w:type="dxa" w:w="108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Full</w:t>
            </w:r>
          </w:p>
        </w:tc>
        <w:tc>
          <w:tcPr>
            <w:tcW w:type="dxa" w:w="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286</w:t>
            </w:r>
          </w:p>
        </w:tc>
        <w:tc>
          <w:tcPr>
            <w:tcW w:type="dxa" w:w="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695</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44,49,077.04</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15,556</w:t>
            </w:r>
          </w:p>
        </w:tc>
        <w:tc>
          <w:tcPr>
            <w:tcW w:type="dxa" w:w="134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-3.9%</w:t>
            </w:r>
          </w:p>
        </w:tc>
      </w:tr>
      <w:tr>
        <w:tc>
          <w:tcPr>
            <w:tcW w:type="dxa" w:w="1600"/>
            <w:tcMar>
              <w:top w:type="dxa" w:w="60"/>
              <w:left w:type="dxa" w:w="100"/>
              <w:bottom w:type="dxa" w:w="60"/>
              <w:right w:type="dxa" w:w="100"/>
            </w:tcMar>
            <w:vAlign w:val="center"/>
          </w:tcPr>
          <w:p>
            <w:pPr>
              <w:jc w:val="left"/>
            </w:pPr>
            <w:r>
              <w:rPr>
                <w:b w:val="false"/>
                <w:bCs w:val="false"/>
                <w:color w:val="222222"/>
                <w:sz w:val="19"/>
                <w:szCs w:val="19"/>
              </w:rPr>
              <w:t xml:space="preserve">June 2026</w:t>
            </w:r>
          </w:p>
        </w:tc>
        <w:tc>
          <w:tcPr>
            <w:tcW w:type="dxa" w:w="1080"/>
            <w:tcMar>
              <w:top w:type="dxa" w:w="60"/>
              <w:left w:type="dxa" w:w="100"/>
              <w:bottom w:type="dxa" w:w="60"/>
              <w:right w:type="dxa" w:w="100"/>
            </w:tcMar>
            <w:vAlign w:val="center"/>
          </w:tcPr>
          <w:p>
            <w:pPr>
              <w:jc w:val="center"/>
            </w:pPr>
            <w:r>
              <w:rPr>
                <w:b w:val="false"/>
                <w:bCs w:val="false"/>
                <w:color w:val="222222"/>
                <w:sz w:val="19"/>
                <w:szCs w:val="19"/>
              </w:rPr>
              <w:t xml:space="preserve">Full</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350</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970</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57,63,488.06</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16,467</w:t>
            </w:r>
          </w:p>
        </w:tc>
        <w:tc>
          <w:tcPr>
            <w:tcW w:type="dxa" w:w="1340"/>
            <w:tcMar>
              <w:top w:type="dxa" w:w="60"/>
              <w:left w:type="dxa" w:w="100"/>
              <w:bottom w:type="dxa" w:w="60"/>
              <w:right w:type="dxa" w:w="100"/>
            </w:tcMar>
            <w:vAlign w:val="center"/>
          </w:tcPr>
          <w:p>
            <w:pPr>
              <w:jc w:val="center"/>
            </w:pPr>
            <w:r>
              <w:rPr>
                <w:b w:val="false"/>
                <w:bCs w:val="false"/>
                <w:color w:val="222222"/>
                <w:sz w:val="19"/>
                <w:szCs w:val="19"/>
              </w:rPr>
              <w:t xml:space="preserve">+29.5%</w:t>
            </w:r>
          </w:p>
        </w:tc>
      </w:tr>
      <w:tr>
        <w:tc>
          <w:tcPr>
            <w:tcW w:type="dxa" w:w="16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July 2026</w:t>
            </w:r>
          </w:p>
        </w:tc>
        <w:tc>
          <w:tcPr>
            <w:tcW w:type="dxa" w:w="108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Full</w:t>
            </w:r>
          </w:p>
        </w:tc>
        <w:tc>
          <w:tcPr>
            <w:tcW w:type="dxa" w:w="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256</w:t>
            </w:r>
          </w:p>
        </w:tc>
        <w:tc>
          <w:tcPr>
            <w:tcW w:type="dxa" w:w="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554</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38,52,885.93</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15,050</w:t>
            </w:r>
          </w:p>
        </w:tc>
        <w:tc>
          <w:tcPr>
            <w:tcW w:type="dxa" w:w="134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-33.2%</w:t>
            </w:r>
          </w:p>
        </w:tc>
      </w:tr>
      <w:tr>
        <w:tc>
          <w:tcPr>
            <w:tcW w:type="dxa" w:w="1600"/>
            <w:tcMar>
              <w:top w:type="dxa" w:w="60"/>
              <w:left w:type="dxa" w:w="100"/>
              <w:bottom w:type="dxa" w:w="60"/>
              <w:right w:type="dxa" w:w="100"/>
            </w:tcMar>
            <w:vAlign w:val="center"/>
          </w:tcPr>
          <w:p>
            <w:pPr>
              <w:jc w:val="left"/>
            </w:pPr>
            <w:r>
              <w:rPr>
                <w:b w:val="false"/>
                <w:bCs w:val="false"/>
                <w:color w:val="222222"/>
                <w:sz w:val="19"/>
                <w:szCs w:val="19"/>
              </w:rPr>
              <w:t xml:space="preserve">August 2026</w:t>
            </w:r>
          </w:p>
        </w:tc>
        <w:tc>
          <w:tcPr>
            <w:tcW w:type="dxa" w:w="1080"/>
            <w:tcMar>
              <w:top w:type="dxa" w:w="60"/>
              <w:left w:type="dxa" w:w="100"/>
              <w:bottom w:type="dxa" w:w="60"/>
              <w:right w:type="dxa" w:w="100"/>
            </w:tcMar>
            <w:vAlign w:val="center"/>
          </w:tcPr>
          <w:p>
            <w:pPr>
              <w:jc w:val="center"/>
            </w:pPr>
            <w:r>
              <w:rPr>
                <w:b w:val="false"/>
                <w:bCs w:val="false"/>
                <w:color w:val="222222"/>
                <w:sz w:val="19"/>
                <w:szCs w:val="19"/>
              </w:rPr>
              <w:t xml:space="preserve">Partial</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68</w:t>
            </w:r>
          </w:p>
        </w:tc>
        <w:tc>
          <w:tcPr>
            <w:tcW w:type="dxa" w:w="900"/>
            <w:tcMar>
              <w:top w:type="dxa" w:w="60"/>
              <w:left w:type="dxa" w:w="100"/>
              <w:bottom w:type="dxa" w:w="60"/>
              <w:right w:type="dxa" w:w="100"/>
            </w:tcMar>
            <w:vAlign w:val="center"/>
          </w:tcPr>
          <w:p>
            <w:pPr>
              <w:jc w:val="center"/>
            </w:pPr>
            <w:r>
              <w:rPr>
                <w:b w:val="false"/>
                <w:bCs w:val="false"/>
                <w:color w:val="222222"/>
                <w:sz w:val="19"/>
                <w:szCs w:val="19"/>
              </w:rPr>
              <w:t xml:space="preserve">89</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7,33,197.18</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10,782</w:t>
            </w:r>
          </w:p>
        </w:tc>
        <w:tc>
          <w:tcPr>
            <w:tcW w:type="dxa" w:w="1340"/>
            <w:tcMar>
              <w:top w:type="dxa" w:w="60"/>
              <w:left w:type="dxa" w:w="100"/>
              <w:bottom w:type="dxa" w:w="60"/>
              <w:right w:type="dxa" w:w="100"/>
            </w:tcMar>
            <w:vAlign w:val="center"/>
          </w:tcPr>
          <w:p>
            <w:pPr>
              <w:jc w:val="center"/>
            </w:pPr>
            <w:r>
              <w:rPr>
                <w:b w:val="false"/>
                <w:bCs w:val="false"/>
                <w:color w:val="222222"/>
                <w:sz w:val="19"/>
                <w:szCs w:val="19"/>
              </w:rPr>
              <w:t xml:space="preserve">-81.0% (partial)</w:t>
            </w:r>
          </w:p>
        </w:tc>
      </w:tr>
    </w:tbl>
    <w:p>
      <w:pPr>
        <w:spacing w:after="160"/>
      </w:pPr>
      <w:r>
        <w:rPr>
          <w:color w:val="222222"/>
          <w:sz w:val="21"/>
          <w:szCs w:val="21"/>
        </w:rPr>
        <w:t xml:space="preserve">June 2026 was the strongest month at Rs. 57,63,488 in revenue, followed by a genuine step-down in July (Rs. 38,52,886, -33.2% month-on-month). August's steep drop is a coverage artefact — the month has only five trading days recorded — and should not be read as a real decline. Excluding August, July is the weakest full month.</w:t>
      </w:r>
    </w:p>
    <w:p>
      <w:pPr>
        <w:pStyle w:val="Heading2"/>
        <w:spacing w:after="120" w:before="240"/>
      </w:pPr>
      <w:r>
        <w:rPr>
          <w:b/>
          <w:bCs/>
          <w:color w:val="1F3864"/>
          <w:sz w:val="24"/>
          <w:szCs w:val="24"/>
        </w:rPr>
        <w:t xml:space="preserve">6.2 Segment mix</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2100"/>
        <w:gridCol w:w="1220"/>
        <w:gridCol w:w="15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1100"/>
            <w:shd w:fill="1F3864" w:color="auto" w:val="clear"/>
            <w:tcMar>
              <w:top w:type="dxa" w:w="60"/>
              <w:left w:type="dxa" w:w="100"/>
              <w:bottom w:type="dxa" w:w="60"/>
              <w:right w:type="dxa" w:w="100"/>
            </w:tcMar>
            <w:vAlign w:val="center"/>
          </w:tcPr>
          <w:p>
            <w:pPr>
              <w:jc w:val="center"/>
            </w:pPr>
            <w:r>
              <w:rPr>
                <w:b/>
                <w:bCs/>
                <w:color w:val="FFFFFF"/>
                <w:sz w:val="19"/>
                <w:szCs w:val="19"/>
              </w:rPr>
              <w:t xml:space="preserve">Lines</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Qty</w:t>
            </w:r>
          </w:p>
        </w:tc>
        <w:tc>
          <w:tcPr>
            <w:tcW w:type="dxa" w:w="2100"/>
            <w:shd w:fill="1F3864" w:color="auto" w:val="clear"/>
            <w:tcMar>
              <w:top w:type="dxa" w:w="60"/>
              <w:left w:type="dxa" w:w="100"/>
              <w:bottom w:type="dxa" w:w="60"/>
              <w:right w:type="dxa" w:w="100"/>
            </w:tcMar>
            <w:vAlign w:val="center"/>
          </w:tcPr>
          <w:p>
            <w:pPr>
              <w:jc w:val="center"/>
            </w:pPr>
            <w:r>
              <w:rPr>
                <w:b/>
                <w:bCs/>
                <w:color w:val="FFFFFF"/>
                <w:sz w:val="19"/>
                <w:szCs w:val="19"/>
              </w:rPr>
              <w:t xml:space="preserve">Revenue (Rs.)</w:t>
            </w:r>
          </w:p>
        </w:tc>
        <w:tc>
          <w:tcPr>
            <w:tcW w:type="dxa" w:w="1220"/>
            <w:shd w:fill="1F3864" w:color="auto" w:val="clear"/>
            <w:tcMar>
              <w:top w:type="dxa" w:w="60"/>
              <w:left w:type="dxa" w:w="100"/>
              <w:bottom w:type="dxa" w:w="60"/>
              <w:right w:type="dxa" w:w="100"/>
            </w:tcMar>
            <w:vAlign w:val="center"/>
          </w:tcPr>
          <w:p>
            <w:pPr>
              <w:jc w:val="center"/>
            </w:pPr>
            <w:r>
              <w:rPr>
                <w:b/>
                <w:bCs/>
                <w:color w:val="FFFFFF"/>
                <w:sz w:val="19"/>
                <w:szCs w:val="19"/>
              </w:rPr>
              <w:t xml:space="preserve">Rev. Share</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Avg Unit Price</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Bicycle</w:t>
            </w:r>
          </w:p>
        </w:tc>
        <w:tc>
          <w:tcPr>
            <w:tcW w:type="dxa" w:w="1100"/>
            <w:tcMar>
              <w:top w:type="dxa" w:w="60"/>
              <w:left w:type="dxa" w:w="100"/>
              <w:bottom w:type="dxa" w:w="60"/>
              <w:right w:type="dxa" w:w="100"/>
            </w:tcMar>
            <w:vAlign w:val="center"/>
          </w:tcPr>
          <w:p>
            <w:pPr>
              <w:jc w:val="center"/>
            </w:pPr>
            <w:r>
              <w:rPr>
                <w:b w:val="false"/>
                <w:bCs w:val="false"/>
                <w:color w:val="222222"/>
                <w:sz w:val="19"/>
                <w:szCs w:val="19"/>
              </w:rPr>
              <w:t xml:space="preserve">1,010</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1,998</w:t>
            </w:r>
          </w:p>
        </w:tc>
        <w:tc>
          <w:tcPr>
            <w:tcW w:type="dxa" w:w="2100"/>
            <w:tcMar>
              <w:top w:type="dxa" w:w="60"/>
              <w:left w:type="dxa" w:w="100"/>
              <w:bottom w:type="dxa" w:w="60"/>
              <w:right w:type="dxa" w:w="100"/>
            </w:tcMar>
            <w:vAlign w:val="center"/>
          </w:tcPr>
          <w:p>
            <w:pPr>
              <w:jc w:val="center"/>
            </w:pPr>
            <w:r>
              <w:rPr>
                <w:b w:val="false"/>
                <w:bCs w:val="false"/>
                <w:color w:val="222222"/>
                <w:sz w:val="19"/>
                <w:szCs w:val="19"/>
              </w:rPr>
              <w:t xml:space="preserve">1,44,17,746.26</w:t>
            </w:r>
          </w:p>
        </w:tc>
        <w:tc>
          <w:tcPr>
            <w:tcW w:type="dxa" w:w="1220"/>
            <w:tcMar>
              <w:top w:type="dxa" w:w="60"/>
              <w:left w:type="dxa" w:w="100"/>
              <w:bottom w:type="dxa" w:w="60"/>
              <w:right w:type="dxa" w:w="100"/>
            </w:tcMar>
            <w:vAlign w:val="center"/>
          </w:tcPr>
          <w:p>
            <w:pPr>
              <w:jc w:val="center"/>
            </w:pPr>
            <w:r>
              <w:rPr>
                <w:b w:val="false"/>
                <w:bCs w:val="false"/>
                <w:color w:val="222222"/>
                <w:sz w:val="19"/>
                <w:szCs w:val="19"/>
              </w:rPr>
              <w:t xml:space="preserve">74.2%</w:t>
            </w:r>
          </w:p>
        </w:tc>
        <w:tc>
          <w:tcPr>
            <w:tcW w:type="dxa" w:w="1500"/>
            <w:tcMar>
              <w:top w:type="dxa" w:w="60"/>
              <w:left w:type="dxa" w:w="100"/>
              <w:bottom w:type="dxa" w:w="60"/>
              <w:right w:type="dxa" w:w="100"/>
            </w:tcMar>
            <w:vAlign w:val="center"/>
          </w:tcPr>
          <w:p>
            <w:pPr>
              <w:jc w:val="center"/>
            </w:pPr>
            <w:r>
              <w:rPr>
                <w:b w:val="false"/>
                <w:bCs w:val="false"/>
                <w:color w:val="222222"/>
                <w:sz w:val="19"/>
                <w:szCs w:val="19"/>
              </w:rPr>
              <w:t xml:space="preserve">7,216</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E-Bike / EV Vehicle</w:t>
            </w:r>
          </w:p>
        </w:tc>
        <w:tc>
          <w:tcPr>
            <w:tcW w:type="dxa" w:w="11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63</w:t>
            </w:r>
          </w:p>
        </w:tc>
        <w:tc>
          <w:tcPr>
            <w:tcW w:type="dxa" w:w="1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120</w:t>
            </w:r>
          </w:p>
        </w:tc>
        <w:tc>
          <w:tcPr>
            <w:tcW w:type="dxa" w:w="21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37,70,194.20</w:t>
            </w:r>
          </w:p>
        </w:tc>
        <w:tc>
          <w:tcPr>
            <w:tcW w:type="dxa" w:w="12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19.4%</w:t>
            </w:r>
          </w:p>
        </w:tc>
        <w:tc>
          <w:tcPr>
            <w:tcW w:type="dxa" w:w="15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31,418</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EV Parts &amp; Components</w:t>
            </w:r>
          </w:p>
        </w:tc>
        <w:tc>
          <w:tcPr>
            <w:tcW w:type="dxa" w:w="1100"/>
            <w:tcMar>
              <w:top w:type="dxa" w:w="60"/>
              <w:left w:type="dxa" w:w="100"/>
              <w:bottom w:type="dxa" w:w="60"/>
              <w:right w:type="dxa" w:w="100"/>
            </w:tcMar>
            <w:vAlign w:val="center"/>
          </w:tcPr>
          <w:p>
            <w:pPr>
              <w:jc w:val="center"/>
            </w:pPr>
            <w:r>
              <w:rPr>
                <w:b w:val="false"/>
                <w:bCs w:val="false"/>
                <w:color w:val="222222"/>
                <w:sz w:val="19"/>
                <w:szCs w:val="19"/>
              </w:rPr>
              <w:t xml:space="preserve">44</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239</w:t>
            </w:r>
          </w:p>
        </w:tc>
        <w:tc>
          <w:tcPr>
            <w:tcW w:type="dxa" w:w="2100"/>
            <w:tcMar>
              <w:top w:type="dxa" w:w="60"/>
              <w:left w:type="dxa" w:w="100"/>
              <w:bottom w:type="dxa" w:w="60"/>
              <w:right w:type="dxa" w:w="100"/>
            </w:tcMar>
            <w:vAlign w:val="center"/>
          </w:tcPr>
          <w:p>
            <w:pPr>
              <w:jc w:val="center"/>
            </w:pPr>
            <w:r>
              <w:rPr>
                <w:b w:val="false"/>
                <w:bCs w:val="false"/>
                <w:color w:val="222222"/>
                <w:sz w:val="19"/>
                <w:szCs w:val="19"/>
              </w:rPr>
              <w:t xml:space="preserve">7,56,767.60</w:t>
            </w:r>
          </w:p>
        </w:tc>
        <w:tc>
          <w:tcPr>
            <w:tcW w:type="dxa" w:w="1220"/>
            <w:tcMar>
              <w:top w:type="dxa" w:w="60"/>
              <w:left w:type="dxa" w:w="100"/>
              <w:bottom w:type="dxa" w:w="60"/>
              <w:right w:type="dxa" w:w="100"/>
            </w:tcMar>
            <w:vAlign w:val="center"/>
          </w:tcPr>
          <w:p>
            <w:pPr>
              <w:jc w:val="center"/>
            </w:pPr>
            <w:r>
              <w:rPr>
                <w:b w:val="false"/>
                <w:bCs w:val="false"/>
                <w:color w:val="222222"/>
                <w:sz w:val="19"/>
                <w:szCs w:val="19"/>
              </w:rPr>
              <w:t xml:space="preserve">3.9%</w:t>
            </w:r>
          </w:p>
        </w:tc>
        <w:tc>
          <w:tcPr>
            <w:tcW w:type="dxa" w:w="1500"/>
            <w:tcMar>
              <w:top w:type="dxa" w:w="60"/>
              <w:left w:type="dxa" w:w="100"/>
              <w:bottom w:type="dxa" w:w="60"/>
              <w:right w:type="dxa" w:w="100"/>
            </w:tcMar>
            <w:vAlign w:val="center"/>
          </w:tcPr>
          <w:p>
            <w:pPr>
              <w:jc w:val="center"/>
            </w:pPr>
            <w:r>
              <w:rPr>
                <w:b w:val="false"/>
                <w:bCs w:val="false"/>
                <w:color w:val="222222"/>
                <w:sz w:val="19"/>
                <w:szCs w:val="19"/>
              </w:rPr>
              <w:t xml:space="preserve">3,166</w:t>
            </w:r>
          </w:p>
        </w:tc>
      </w:tr>
      <w:tr>
        <w:tc>
          <w:tcPr>
            <w:tcW w:type="dxa" w:w="24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Kids &amp; Ride-On</w:t>
            </w:r>
          </w:p>
        </w:tc>
        <w:tc>
          <w:tcPr>
            <w:tcW w:type="dxa" w:w="11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61</w:t>
            </w:r>
          </w:p>
        </w:tc>
        <w:tc>
          <w:tcPr>
            <w:tcW w:type="dxa" w:w="1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121</w:t>
            </w:r>
          </w:p>
        </w:tc>
        <w:tc>
          <w:tcPr>
            <w:tcW w:type="dxa" w:w="21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2,62,069.95</w:t>
            </w:r>
          </w:p>
        </w:tc>
        <w:tc>
          <w:tcPr>
            <w:tcW w:type="dxa" w:w="12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1.3%</w:t>
            </w:r>
          </w:p>
        </w:tc>
        <w:tc>
          <w:tcPr>
            <w:tcW w:type="dxa" w:w="15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2,166</w:t>
            </w:r>
          </w:p>
        </w:tc>
      </w:tr>
      <w:tr>
        <w:tc>
          <w:tcPr>
            <w:tcW w:type="dxa" w:w="2400"/>
            <w:tcMar>
              <w:top w:type="dxa" w:w="60"/>
              <w:left w:type="dxa" w:w="100"/>
              <w:bottom w:type="dxa" w:w="60"/>
              <w:right w:type="dxa" w:w="100"/>
            </w:tcMar>
            <w:vAlign w:val="center"/>
          </w:tcPr>
          <w:p>
            <w:pPr>
              <w:jc w:val="left"/>
            </w:pPr>
            <w:r>
              <w:rPr>
                <w:b w:val="false"/>
                <w:bCs w:val="false"/>
                <w:color w:val="222222"/>
                <w:sz w:val="19"/>
                <w:szCs w:val="19"/>
              </w:rPr>
              <w:t xml:space="preserve">Accessories &amp; Spares</w:t>
            </w:r>
          </w:p>
        </w:tc>
        <w:tc>
          <w:tcPr>
            <w:tcW w:type="dxa" w:w="1100"/>
            <w:tcMar>
              <w:top w:type="dxa" w:w="60"/>
              <w:left w:type="dxa" w:w="100"/>
              <w:bottom w:type="dxa" w:w="60"/>
              <w:right w:type="dxa" w:w="100"/>
            </w:tcMar>
            <w:vAlign w:val="center"/>
          </w:tcPr>
          <w:p>
            <w:pPr>
              <w:jc w:val="center"/>
            </w:pPr>
            <w:r>
              <w:rPr>
                <w:b w:val="false"/>
                <w:bCs w:val="false"/>
                <w:color w:val="222222"/>
                <w:sz w:val="19"/>
                <w:szCs w:val="19"/>
              </w:rPr>
              <w:t xml:space="preserve">79</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535</w:t>
            </w:r>
          </w:p>
        </w:tc>
        <w:tc>
          <w:tcPr>
            <w:tcW w:type="dxa" w:w="2100"/>
            <w:tcMar>
              <w:top w:type="dxa" w:w="60"/>
              <w:left w:type="dxa" w:w="100"/>
              <w:bottom w:type="dxa" w:w="60"/>
              <w:right w:type="dxa" w:w="100"/>
            </w:tcMar>
            <w:vAlign w:val="center"/>
          </w:tcPr>
          <w:p>
            <w:pPr>
              <w:jc w:val="center"/>
            </w:pPr>
            <w:r>
              <w:rPr>
                <w:b w:val="false"/>
                <w:bCs w:val="false"/>
                <w:color w:val="222222"/>
                <w:sz w:val="19"/>
                <w:szCs w:val="19"/>
              </w:rPr>
              <w:t xml:space="preserve">2,22,349.18</w:t>
            </w:r>
          </w:p>
        </w:tc>
        <w:tc>
          <w:tcPr>
            <w:tcW w:type="dxa" w:w="1220"/>
            <w:tcMar>
              <w:top w:type="dxa" w:w="60"/>
              <w:left w:type="dxa" w:w="100"/>
              <w:bottom w:type="dxa" w:w="60"/>
              <w:right w:type="dxa" w:w="100"/>
            </w:tcMar>
            <w:vAlign w:val="center"/>
          </w:tcPr>
          <w:p>
            <w:pPr>
              <w:jc w:val="center"/>
            </w:pPr>
            <w:r>
              <w:rPr>
                <w:b w:val="false"/>
                <w:bCs w:val="false"/>
                <w:color w:val="222222"/>
                <w:sz w:val="19"/>
                <w:szCs w:val="19"/>
              </w:rPr>
              <w:t xml:space="preserve">1.1%</w:t>
            </w:r>
          </w:p>
        </w:tc>
        <w:tc>
          <w:tcPr>
            <w:tcW w:type="dxa" w:w="1500"/>
            <w:tcMar>
              <w:top w:type="dxa" w:w="60"/>
              <w:left w:type="dxa" w:w="100"/>
              <w:bottom w:type="dxa" w:w="60"/>
              <w:right w:type="dxa" w:w="100"/>
            </w:tcMar>
            <w:vAlign w:val="center"/>
          </w:tcPr>
          <w:p>
            <w:pPr>
              <w:jc w:val="center"/>
            </w:pPr>
            <w:r>
              <w:rPr>
                <w:b w:val="false"/>
                <w:bCs w:val="false"/>
                <w:color w:val="222222"/>
                <w:sz w:val="19"/>
                <w:szCs w:val="19"/>
              </w:rPr>
              <w:t xml:space="preserve">416</w:t>
            </w:r>
          </w:p>
        </w:tc>
      </w:tr>
    </w:tbl>
    <w:p>
      <w:pPr>
        <w:spacing w:after="160"/>
      </w:pPr>
      <w:r>
        <w:rPr>
          <w:color w:val="222222"/>
          <w:sz w:val="21"/>
          <w:szCs w:val="21"/>
        </w:rPr>
        <w:t xml:space="preserve">Bicycles dominate on both volume and revenue, but e-bikes punch far above their weight: 4% of units sold generate 19% of revenue, at an average unit price roughly 4–5x that of a conventional bicycle. Accessories sit at the opposite extreme — 18% of volume but only 1% of revenue — a natural attach-sale opportunity rather than a standalone revenue driver.</w:t>
      </w:r>
    </w:p>
    <w:p>
      <w:pPr>
        <w:pStyle w:val="Heading2"/>
        <w:spacing w:after="120" w:before="240"/>
      </w:pPr>
      <w:r>
        <w:rPr>
          <w:b/>
          <w:bCs/>
          <w:color w:val="1F3864"/>
          <w:sz w:val="24"/>
          <w:szCs w:val="24"/>
        </w:rPr>
        <w:t xml:space="preserve">6.3 Brand and product concentration</w:t>
      </w:r>
    </w:p>
    <w:p>
      <w:pPr>
        <w:spacing w:after="160"/>
      </w:pPr>
      <w:r>
        <w:rPr>
          <w:color w:val="222222"/>
          <w:sz w:val="21"/>
          <w:szCs w:val="21"/>
        </w:rPr>
        <w:t xml:space="preserve">Revenue is highly concentrated. The top 5 brands — BSA, HER, KEYSTO, EMOTORAD and STRYDER — generate 57% of total revenue, and the top 10 brands drive 83%, out of 37 brands overall.</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200"/>
        <w:gridCol w:w="1000"/>
        <w:gridCol w:w="2320"/>
        <w:gridCol w:w="2000"/>
      </w:tblGrid>
      <w:tr>
        <w:trPr>
          <w:tblHeader/>
        </w:trPr>
        <w:tc>
          <w:tcPr>
            <w:tcW w:type="dxa" w:w="900"/>
            <w:shd w:fill="1F3864" w:color="auto" w:val="clear"/>
            <w:tcMar>
              <w:top w:type="dxa" w:w="60"/>
              <w:left w:type="dxa" w:w="100"/>
              <w:bottom w:type="dxa" w:w="60"/>
              <w:right w:type="dxa" w:w="100"/>
            </w:tcMar>
            <w:vAlign w:val="center"/>
          </w:tcPr>
          <w:p>
            <w:pPr>
              <w:jc w:val="left"/>
            </w:pPr>
            <w:r>
              <w:rPr>
                <w:b/>
                <w:bCs/>
                <w:color w:val="FFFFFF"/>
                <w:sz w:val="19"/>
                <w:szCs w:val="19"/>
              </w:rPr>
              <w:t xml:space="preserve">Rank</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Brand</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Lines</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Qty</w:t>
            </w:r>
          </w:p>
        </w:tc>
        <w:tc>
          <w:tcPr>
            <w:tcW w:type="dxa" w:w="2320"/>
            <w:shd w:fill="1F3864" w:color="auto" w:val="clear"/>
            <w:tcMar>
              <w:top w:type="dxa" w:w="60"/>
              <w:left w:type="dxa" w:w="100"/>
              <w:bottom w:type="dxa" w:w="60"/>
              <w:right w:type="dxa" w:w="100"/>
            </w:tcMar>
            <w:vAlign w:val="center"/>
          </w:tcPr>
          <w:p>
            <w:pPr>
              <w:jc w:val="center"/>
            </w:pPr>
            <w:r>
              <w:rPr>
                <w:b/>
                <w:bCs/>
                <w:color w:val="FFFFFF"/>
                <w:sz w:val="19"/>
                <w:szCs w:val="19"/>
              </w:rPr>
              <w:t xml:space="preserve">Revenue (Rs.)</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Rev. Share</w:t>
            </w:r>
          </w:p>
        </w:tc>
      </w:tr>
      <w:tr>
        <w:tc>
          <w:tcPr>
            <w:tcW w:type="dxa" w:w="900"/>
            <w:tcMar>
              <w:top w:type="dxa" w:w="60"/>
              <w:left w:type="dxa" w:w="100"/>
              <w:bottom w:type="dxa" w:w="60"/>
              <w:right w:type="dxa" w:w="100"/>
            </w:tcMar>
            <w:vAlign w:val="center"/>
          </w:tcPr>
          <w:p>
            <w:pPr>
              <w:jc w:val="left"/>
            </w:pPr>
            <w:r>
              <w:rPr>
                <w:b w:val="false"/>
                <w:bCs w:val="false"/>
                <w:color w:val="222222"/>
                <w:sz w:val="19"/>
                <w:szCs w:val="19"/>
              </w:rPr>
              <w:t xml:space="preserve">1</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BSA</w:t>
            </w:r>
          </w:p>
        </w:tc>
        <w:tc>
          <w:tcPr>
            <w:tcW w:type="dxa" w:w="1200"/>
            <w:tcMar>
              <w:top w:type="dxa" w:w="60"/>
              <w:left w:type="dxa" w:w="100"/>
              <w:bottom w:type="dxa" w:w="60"/>
              <w:right w:type="dxa" w:w="100"/>
            </w:tcMar>
            <w:vAlign w:val="center"/>
          </w:tcPr>
          <w:p>
            <w:pPr>
              <w:jc w:val="center"/>
            </w:pPr>
            <w:r>
              <w:rPr>
                <w:b w:val="false"/>
                <w:bCs w:val="false"/>
                <w:color w:val="222222"/>
                <w:sz w:val="19"/>
                <w:szCs w:val="19"/>
              </w:rPr>
              <w:t xml:space="preserve">179</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510</w:t>
            </w:r>
          </w:p>
        </w:tc>
        <w:tc>
          <w:tcPr>
            <w:tcW w:type="dxa" w:w="2320"/>
            <w:tcMar>
              <w:top w:type="dxa" w:w="60"/>
              <w:left w:type="dxa" w:w="100"/>
              <w:bottom w:type="dxa" w:w="60"/>
              <w:right w:type="dxa" w:w="100"/>
            </w:tcMar>
            <w:vAlign w:val="center"/>
          </w:tcPr>
          <w:p>
            <w:pPr>
              <w:jc w:val="center"/>
            </w:pPr>
            <w:r>
              <w:rPr>
                <w:b w:val="false"/>
                <w:bCs w:val="false"/>
                <w:color w:val="222222"/>
                <w:sz w:val="19"/>
                <w:szCs w:val="19"/>
              </w:rPr>
              <w:t xml:space="preserve">30,31,272.38</w:t>
            </w:r>
          </w:p>
        </w:tc>
        <w:tc>
          <w:tcPr>
            <w:tcW w:type="dxa" w:w="2000"/>
            <w:tcMar>
              <w:top w:type="dxa" w:w="60"/>
              <w:left w:type="dxa" w:w="100"/>
              <w:bottom w:type="dxa" w:w="60"/>
              <w:right w:type="dxa" w:w="100"/>
            </w:tcMar>
            <w:vAlign w:val="center"/>
          </w:tcPr>
          <w:p>
            <w:pPr>
              <w:jc w:val="center"/>
            </w:pPr>
            <w:r>
              <w:rPr>
                <w:b w:val="false"/>
                <w:bCs w:val="false"/>
                <w:color w:val="222222"/>
                <w:sz w:val="19"/>
                <w:szCs w:val="19"/>
              </w:rPr>
              <w:t xml:space="preserve">15.6%</w:t>
            </w:r>
          </w:p>
        </w:tc>
      </w:tr>
      <w:tr>
        <w:tc>
          <w:tcPr>
            <w:tcW w:type="dxa" w:w="9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2</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HER</w:t>
            </w:r>
          </w:p>
        </w:tc>
        <w:tc>
          <w:tcPr>
            <w:tcW w:type="dxa" w:w="12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157</w:t>
            </w:r>
          </w:p>
        </w:tc>
        <w:tc>
          <w:tcPr>
            <w:tcW w:type="dxa" w:w="1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325</w:t>
            </w:r>
          </w:p>
        </w:tc>
        <w:tc>
          <w:tcPr>
            <w:tcW w:type="dxa" w:w="23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29,30,419.83</w:t>
            </w:r>
          </w:p>
        </w:tc>
        <w:tc>
          <w:tcPr>
            <w:tcW w:type="dxa" w:w="2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15.1%</w:t>
            </w:r>
          </w:p>
        </w:tc>
      </w:tr>
      <w:tr>
        <w:tc>
          <w:tcPr>
            <w:tcW w:type="dxa" w:w="900"/>
            <w:tcMar>
              <w:top w:type="dxa" w:w="60"/>
              <w:left w:type="dxa" w:w="100"/>
              <w:bottom w:type="dxa" w:w="60"/>
              <w:right w:type="dxa" w:w="100"/>
            </w:tcMar>
            <w:vAlign w:val="center"/>
          </w:tcPr>
          <w:p>
            <w:pPr>
              <w:jc w:val="left"/>
            </w:pPr>
            <w:r>
              <w:rPr>
                <w:b w:val="false"/>
                <w:bCs w:val="false"/>
                <w:color w:val="222222"/>
                <w:sz w:val="19"/>
                <w:szCs w:val="19"/>
              </w:rPr>
              <w:t xml:space="preserve">3</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KEYSTO</w:t>
            </w:r>
          </w:p>
        </w:tc>
        <w:tc>
          <w:tcPr>
            <w:tcW w:type="dxa" w:w="1200"/>
            <w:tcMar>
              <w:top w:type="dxa" w:w="60"/>
              <w:left w:type="dxa" w:w="100"/>
              <w:bottom w:type="dxa" w:w="60"/>
              <w:right w:type="dxa" w:w="100"/>
            </w:tcMar>
            <w:vAlign w:val="center"/>
          </w:tcPr>
          <w:p>
            <w:pPr>
              <w:jc w:val="center"/>
            </w:pPr>
            <w:r>
              <w:rPr>
                <w:b w:val="false"/>
                <w:bCs w:val="false"/>
                <w:color w:val="222222"/>
                <w:sz w:val="19"/>
                <w:szCs w:val="19"/>
              </w:rPr>
              <w:t xml:space="preserve">143</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246</w:t>
            </w:r>
          </w:p>
        </w:tc>
        <w:tc>
          <w:tcPr>
            <w:tcW w:type="dxa" w:w="2320"/>
            <w:tcMar>
              <w:top w:type="dxa" w:w="60"/>
              <w:left w:type="dxa" w:w="100"/>
              <w:bottom w:type="dxa" w:w="60"/>
              <w:right w:type="dxa" w:w="100"/>
            </w:tcMar>
            <w:vAlign w:val="center"/>
          </w:tcPr>
          <w:p>
            <w:pPr>
              <w:jc w:val="center"/>
            </w:pPr>
            <w:r>
              <w:rPr>
                <w:b w:val="false"/>
                <w:bCs w:val="false"/>
                <w:color w:val="222222"/>
                <w:sz w:val="19"/>
                <w:szCs w:val="19"/>
              </w:rPr>
              <w:t xml:space="preserve">18,88,057.01</w:t>
            </w:r>
          </w:p>
        </w:tc>
        <w:tc>
          <w:tcPr>
            <w:tcW w:type="dxa" w:w="2000"/>
            <w:tcMar>
              <w:top w:type="dxa" w:w="60"/>
              <w:left w:type="dxa" w:w="100"/>
              <w:bottom w:type="dxa" w:w="60"/>
              <w:right w:type="dxa" w:w="100"/>
            </w:tcMar>
            <w:vAlign w:val="center"/>
          </w:tcPr>
          <w:p>
            <w:pPr>
              <w:jc w:val="center"/>
            </w:pPr>
            <w:r>
              <w:rPr>
                <w:b w:val="false"/>
                <w:bCs w:val="false"/>
                <w:color w:val="222222"/>
                <w:sz w:val="19"/>
                <w:szCs w:val="19"/>
              </w:rPr>
              <w:t xml:space="preserve">9.7%</w:t>
            </w:r>
          </w:p>
        </w:tc>
      </w:tr>
      <w:tr>
        <w:tc>
          <w:tcPr>
            <w:tcW w:type="dxa" w:w="900"/>
            <w:shd w:fill="F2F2F2" w:color="auto" w:val="clear"/>
            <w:tcMar>
              <w:top w:type="dxa" w:w="60"/>
              <w:left w:type="dxa" w:w="100"/>
              <w:bottom w:type="dxa" w:w="60"/>
              <w:right w:type="dxa" w:w="100"/>
            </w:tcMar>
            <w:vAlign w:val="center"/>
          </w:tcPr>
          <w:p>
            <w:pPr>
              <w:jc w:val="left"/>
            </w:pPr>
            <w:r>
              <w:rPr>
                <w:b w:val="false"/>
                <w:bCs w:val="false"/>
                <w:color w:val="222222"/>
                <w:sz w:val="19"/>
                <w:szCs w:val="19"/>
              </w:rPr>
              <w:t xml:space="preserve">4</w:t>
            </w:r>
          </w:p>
        </w:tc>
        <w:tc>
          <w:tcPr>
            <w:tcW w:type="dxa" w:w="19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EMOTORAD</w:t>
            </w:r>
          </w:p>
        </w:tc>
        <w:tc>
          <w:tcPr>
            <w:tcW w:type="dxa" w:w="12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32</w:t>
            </w:r>
          </w:p>
        </w:tc>
        <w:tc>
          <w:tcPr>
            <w:tcW w:type="dxa" w:w="1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57</w:t>
            </w:r>
          </w:p>
        </w:tc>
        <w:tc>
          <w:tcPr>
            <w:tcW w:type="dxa" w:w="232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16,33,926.81</w:t>
            </w:r>
          </w:p>
        </w:tc>
        <w:tc>
          <w:tcPr>
            <w:tcW w:type="dxa" w:w="2000"/>
            <w:shd w:fill="F2F2F2" w:color="auto" w:val="clear"/>
            <w:tcMar>
              <w:top w:type="dxa" w:w="60"/>
              <w:left w:type="dxa" w:w="100"/>
              <w:bottom w:type="dxa" w:w="60"/>
              <w:right w:type="dxa" w:w="100"/>
            </w:tcMar>
            <w:vAlign w:val="center"/>
          </w:tcPr>
          <w:p>
            <w:pPr>
              <w:jc w:val="center"/>
            </w:pPr>
            <w:r>
              <w:rPr>
                <w:b w:val="false"/>
                <w:bCs w:val="false"/>
                <w:color w:val="222222"/>
                <w:sz w:val="19"/>
                <w:szCs w:val="19"/>
              </w:rPr>
              <w:t xml:space="preserve">8.4%</w:t>
            </w:r>
          </w:p>
        </w:tc>
      </w:tr>
      <w:tr>
        <w:tc>
          <w:tcPr>
            <w:tcW w:type="dxa" w:w="900"/>
            <w:tcMar>
              <w:top w:type="dxa" w:w="60"/>
              <w:left w:type="dxa" w:w="100"/>
              <w:bottom w:type="dxa" w:w="60"/>
              <w:right w:type="dxa" w:w="100"/>
            </w:tcMar>
            <w:vAlign w:val="center"/>
          </w:tcPr>
          <w:p>
            <w:pPr>
              <w:jc w:val="left"/>
            </w:pPr>
            <w:r>
              <w:rPr>
                <w:b w:val="false"/>
                <w:bCs w:val="false"/>
                <w:color w:val="222222"/>
                <w:sz w:val="19"/>
                <w:szCs w:val="19"/>
              </w:rPr>
              <w:t xml:space="preserve">5</w:t>
            </w:r>
          </w:p>
        </w:tc>
        <w:tc>
          <w:tcPr>
            <w:tcW w:type="dxa" w:w="1900"/>
            <w:tcMar>
              <w:top w:type="dxa" w:w="60"/>
              <w:left w:type="dxa" w:w="100"/>
              <w:bottom w:type="dxa" w:w="60"/>
              <w:right w:type="dxa" w:w="100"/>
            </w:tcMar>
            <w:vAlign w:val="center"/>
          </w:tcPr>
          <w:p>
            <w:pPr>
              <w:jc w:val="center"/>
            </w:pPr>
            <w:r>
              <w:rPr>
                <w:b w:val="false"/>
                <w:bCs w:val="false"/>
                <w:color w:val="222222"/>
                <w:sz w:val="19"/>
                <w:szCs w:val="19"/>
              </w:rPr>
              <w:t xml:space="preserve">STRYDER</w:t>
            </w:r>
          </w:p>
        </w:tc>
        <w:tc>
          <w:tcPr>
            <w:tcW w:type="dxa" w:w="1200"/>
            <w:tcMar>
              <w:top w:type="dxa" w:w="60"/>
              <w:left w:type="dxa" w:w="100"/>
              <w:bottom w:type="dxa" w:w="60"/>
              <w:right w:type="dxa" w:w="100"/>
            </w:tcMar>
            <w:vAlign w:val="center"/>
          </w:tcPr>
          <w:p>
            <w:pPr>
              <w:jc w:val="center"/>
            </w:pPr>
            <w:r>
              <w:rPr>
                <w:b w:val="false"/>
                <w:bCs w:val="false"/>
                <w:color w:val="222222"/>
                <w:sz w:val="19"/>
                <w:szCs w:val="19"/>
              </w:rPr>
              <w:t xml:space="preserve">123</w:t>
            </w:r>
          </w:p>
        </w:tc>
        <w:tc>
          <w:tcPr>
            <w:tcW w:type="dxa" w:w="1000"/>
            <w:tcMar>
              <w:top w:type="dxa" w:w="60"/>
              <w:left w:type="dxa" w:w="100"/>
              <w:bottom w:type="dxa" w:w="60"/>
              <w:right w:type="dxa" w:w="100"/>
            </w:tcMar>
            <w:vAlign w:val="center"/>
          </w:tcPr>
          <w:p>
            <w:pPr>
              <w:jc w:val="center"/>
            </w:pPr>
            <w:r>
              <w:rPr>
                <w:b w:val="false"/>
                <w:bCs w:val="false"/>
                <w:color w:val="222222"/>
                <w:sz w:val="19"/>
                <w:szCs w:val="19"/>
              </w:rPr>
              <w:t xml:space="preserve">236</w:t>
            </w:r>
          </w:p>
        </w:tc>
        <w:tc>
          <w:tcPr>
            <w:tcW w:type="dxa" w:w="2320"/>
            <w:tcMar>
              <w:top w:type="dxa" w:w="60"/>
              <w:left w:type="dxa" w:w="100"/>
              <w:bottom w:type="dxa" w:w="60"/>
              <w:right w:type="dxa" w:w="100"/>
            </w:tcMar>
            <w:vAlign w:val="center"/>
          </w:tcPr>
          <w:p>
            <w:pPr>
              <w:jc w:val="center"/>
            </w:pPr>
            <w:r>
              <w:rPr>
                <w:b w:val="false"/>
                <w:bCs w:val="false"/>
                <w:color w:val="222222"/>
                <w:sz w:val="19"/>
                <w:szCs w:val="19"/>
              </w:rPr>
              <w:t xml:space="preserve">15,92,814.43</w:t>
            </w:r>
          </w:p>
        </w:tc>
        <w:tc>
          <w:tcPr>
            <w:tcW w:type="dxa" w:w="2000"/>
            <w:tcMar>
              <w:top w:type="dxa" w:w="60"/>
              <w:left w:type="dxa" w:w="100"/>
              <w:bottom w:type="dxa" w:w="60"/>
              <w:right w:type="dxa" w:w="100"/>
            </w:tcMar>
            <w:vAlign w:val="center"/>
          </w:tcPr>
          <w:p>
            <w:pPr>
              <w:jc w:val="center"/>
            </w:pPr>
            <w:r>
              <w:rPr>
                <w:b w:val="false"/>
                <w:bCs w:val="false"/>
                <w:color w:val="222222"/>
                <w:sz w:val="19"/>
                <w:szCs w:val="19"/>
              </w:rPr>
              <w:t xml:space="preserve">8.2%</w:t>
            </w:r>
          </w:p>
        </w:tc>
      </w:tr>
    </w:tbl>
    <w:p>
      <w:pPr>
        <w:spacing w:after="160"/>
      </w:pPr>
      <w:r>
        <w:rPr>
          <w:color w:val="222222"/>
          <w:sz w:val="21"/>
          <w:szCs w:val="21"/>
        </w:rPr>
        <w:t xml:space="preserve">At SKU level the pattern repeats: the three best-selling products — led by the TYCHE EV LYFE 10.4AH 26" and TYCHE EV FREEDOM 13AH 26" — alone account for roughly 7% of total revenue out of 627 unique SKUs, a classic Pareto (80/20) pattern that concentrates commercial risk in a small group of brands and hero products.</w:t>
      </w:r>
    </w:p>
    <w:p>
      <w:pPr>
        <w:pStyle w:val="Heading1"/>
        <w:spacing w:after="160" w:before="360"/>
      </w:pPr>
      <w:r>
        <w:rPr>
          <w:b/>
          <w:bCs/>
          <w:color w:val="1F3864"/>
          <w:sz w:val="28"/>
          <w:szCs w:val="28"/>
        </w:rPr>
        <w:t xml:space="preserve">7. Scope Limitations</w:t>
      </w:r>
    </w:p>
    <w:p>
      <w:pPr>
        <w:spacing w:after="160"/>
      </w:pPr>
      <w:r>
        <w:rPr>
          <w:color w:val="222222"/>
          <w:sz w:val="21"/>
          <w:szCs w:val="21"/>
        </w:rPr>
        <w:t xml:space="preserve">Stating these limits explicitly is a deliberate choice. The source extract does not carry certain fields, and the following are out of scope for this project — not by choice, but because the underlying data does not support them:</w:t>
      </w:r>
    </w:p>
    <w:p>
      <w:pPr>
        <w:pStyle w:val="ListParagraph"/>
        <w:numPr>
          <w:ilvl w:val="0"/>
          <w:numId w:val="1"/>
        </w:numPr>
        <w:spacing w:after="80"/>
      </w:pPr>
      <w:r>
        <w:rPr>
          <w:color w:val="222222"/>
          <w:sz w:val="21"/>
          <w:szCs w:val="21"/>
        </w:rPr>
        <w:t xml:space="preserve">Day-of-week or daily seasonality (the source has reporting-period dates only, not individual sale dates).</w:t>
      </w:r>
    </w:p>
    <w:p>
      <w:pPr>
        <w:pStyle w:val="ListParagraph"/>
        <w:numPr>
          <w:ilvl w:val="0"/>
          <w:numId w:val="1"/>
        </w:numPr>
        <w:spacing w:after="80"/>
      </w:pPr>
      <w:r>
        <w:rPr>
          <w:color w:val="222222"/>
          <w:sz w:val="21"/>
          <w:szCs w:val="21"/>
        </w:rPr>
        <w:t xml:space="preserve">Customer-level or basket/association analysis (no customer or transaction-basket identifiers in the source).</w:t>
      </w:r>
    </w:p>
    <w:p>
      <w:pPr>
        <w:pStyle w:val="ListParagraph"/>
        <w:numPr>
          <w:ilvl w:val="0"/>
          <w:numId w:val="1"/>
        </w:numPr>
        <w:spacing w:after="80"/>
      </w:pPr>
      <w:r>
        <w:rPr>
          <w:color w:val="222222"/>
          <w:sz w:val="21"/>
          <w:szCs w:val="21"/>
        </w:rPr>
        <w:t xml:space="preserve">Margin or profitability analysis (no cost field in the source; only revenue and quantity).</w:t>
      </w:r>
    </w:p>
    <w:p>
      <w:pPr>
        <w:pStyle w:val="ListParagraph"/>
        <w:numPr>
          <w:ilvl w:val="0"/>
          <w:numId w:val="1"/>
        </w:numPr>
        <w:spacing w:after="80"/>
      </w:pPr>
      <w:r>
        <w:rPr>
          <w:color w:val="222222"/>
          <w:sz w:val="21"/>
          <w:szCs w:val="21"/>
        </w:rPr>
        <w:t xml:space="preserve">Store or location-based comparison (no location field in the source).</w:t>
      </w:r>
    </w:p>
    <w:p>
      <w:pPr>
        <w:pStyle w:val="ListParagraph"/>
        <w:numPr>
          <w:ilvl w:val="0"/>
          <w:numId w:val="1"/>
        </w:numPr>
        <w:spacing w:after="80"/>
      </w:pPr>
      <w:r>
        <w:rPr>
          <w:color w:val="222222"/>
          <w:sz w:val="21"/>
          <w:szCs w:val="21"/>
        </w:rPr>
        <w:t xml:space="preserve">A true month-on-month comparison for August (the month is only 20% complete, at 1–5 August).</w:t>
      </w:r>
    </w:p>
    <w:p>
      <w:pPr>
        <w:pStyle w:val="Heading1"/>
        <w:spacing w:after="160" w:before="360"/>
      </w:pPr>
      <w:r>
        <w:rPr>
          <w:b/>
          <w:bCs/>
          <w:color w:val="1F3864"/>
          <w:sz w:val="28"/>
          <w:szCs w:val="28"/>
        </w:rPr>
        <w:t xml:space="preserve">8. Conclusion</w:t>
      </w:r>
    </w:p>
    <w:p>
      <w:pPr>
        <w:spacing w:after="160"/>
      </w:pPr>
      <w:r>
        <w:rPr>
          <w:color w:val="222222"/>
          <w:sz w:val="21"/>
          <w:szCs w:val="21"/>
        </w:rPr>
        <w:t xml:space="preserve">This project demonstrates that a well-formed sales extract is not the same as an analysis-ready one: the raw file carried no brand, segment, or unit-price dimension, and all of the dashboard's commercial insight depends on deriving those fields correctly and validating them against source control totals. The reconciliation in Section 5 confirms the cleaned dataset accounts for every transaction and every rupee in the source file.</w:t>
      </w:r>
    </w:p>
    <w:p>
      <w:pPr>
        <w:spacing w:after="160"/>
      </w:pPr>
      <w:r>
        <w:rPr>
          <w:color w:val="222222"/>
          <w:sz w:val="21"/>
          <w:szCs w:val="21"/>
        </w:rPr>
        <w:t xml:space="preserve">The resulting dataset supports a small number of well-founded conclusions: bicycles drive volume while e-bikes drive value, revenue is concentrated in a handful of brands and hero SKUs, June was the standout month of the period, and accessories represent an under-monetised attach opportunity. The analysis deliberately avoids overreaching into questions — daily seasonality, margin, customer segmentation — that this data was never equipped to answer.</w:t>
      </w:r>
    </w:p>
    <w:p>
      <w:pPr>
        <w:pStyle w:val="Heading1"/>
        <w:spacing w:after="160" w:before="360"/>
      </w:pPr>
      <w:r>
        <w:rPr>
          <w:b/>
          <w:bCs/>
          <w:color w:val="1F3864"/>
          <w:sz w:val="28"/>
          <w:szCs w:val="28"/>
        </w:rPr>
        <w:t xml:space="preserve">9. Recommended Next Steps</w:t>
      </w:r>
    </w:p>
    <w:p>
      <w:pPr>
        <w:pStyle w:val="ListParagraph"/>
        <w:numPr>
          <w:ilvl w:val="0"/>
          <w:numId w:val="1"/>
        </w:numPr>
        <w:spacing w:after="80"/>
      </w:pPr>
      <w:r>
        <w:rPr>
          <w:color w:val="222222"/>
          <w:sz w:val="21"/>
          <w:szCs w:val="21"/>
        </w:rPr>
        <w:t xml:space="preserve">Double down on the top 5 brands and hero SKUs — secure stock and shelf space, and negotiate volume terms with BSA, HER and KEYSTO.</w:t>
      </w:r>
    </w:p>
    <w:p>
      <w:pPr>
        <w:pStyle w:val="ListParagraph"/>
        <w:numPr>
          <w:ilvl w:val="0"/>
          <w:numId w:val="1"/>
        </w:numPr>
        <w:spacing w:after="80"/>
      </w:pPr>
      <w:r>
        <w:rPr>
          <w:color w:val="222222"/>
          <w:sz w:val="21"/>
          <w:szCs w:val="21"/>
        </w:rPr>
        <w:t xml:space="preserve">Grow the electric line — promote the E-Bike/EV range as the margin engine and expand high-velocity models such as the TYCHE EV LYFE and EMOTORAD series.</w:t>
      </w:r>
    </w:p>
    <w:p>
      <w:pPr>
        <w:pStyle w:val="ListParagraph"/>
        <w:numPr>
          <w:ilvl w:val="0"/>
          <w:numId w:val="1"/>
        </w:numPr>
        <w:spacing w:after="80"/>
      </w:pPr>
      <w:r>
        <w:rPr>
          <w:color w:val="222222"/>
          <w:sz w:val="21"/>
          <w:szCs w:val="21"/>
        </w:rPr>
        <w:t xml:space="preserve">Launch accessory attach campaigns (helmets, locks, pumps, seats) at the point of bicycle sale to lift the currently low basket value.</w:t>
      </w:r>
    </w:p>
    <w:p>
      <w:pPr>
        <w:pStyle w:val="ListParagraph"/>
        <w:numPr>
          <w:ilvl w:val="0"/>
          <w:numId w:val="1"/>
        </w:numPr>
        <w:spacing w:after="80"/>
      </w:pPr>
      <w:r>
        <w:rPr>
          <w:color w:val="222222"/>
          <w:sz w:val="21"/>
          <w:szCs w:val="21"/>
        </w:rPr>
        <w:t xml:space="preserve">Rationalise the long tail — review slow-moving SKUs among the 627 products and use a Pareto cut to trim or delist the bottom performers.</w:t>
      </w:r>
    </w:p>
    <w:p>
      <w:pPr>
        <w:pStyle w:val="ListParagraph"/>
        <w:numPr>
          <w:ilvl w:val="0"/>
          <w:numId w:val="1"/>
        </w:numPr>
        <w:spacing w:after="80"/>
      </w:pPr>
      <w:r>
        <w:rPr>
          <w:color w:val="222222"/>
          <w:sz w:val="21"/>
          <w:szCs w:val="21"/>
        </w:rPr>
        <w:t xml:space="preserve">Plan seasonally around the June/July peak — align purchasing, staffing and marketing to the observed monthly rhythm.</w:t>
      </w:r>
    </w:p>
    <w:p>
      <w:pPr>
        <w:pStyle w:val="ListParagraph"/>
        <w:numPr>
          <w:ilvl w:val="0"/>
          <w:numId w:val="1"/>
        </w:numPr>
        <w:spacing w:after="80"/>
      </w:pPr>
      <w:r>
        <w:rPr>
          <w:color w:val="222222"/>
          <w:sz w:val="21"/>
          <w:szCs w:val="21"/>
        </w:rPr>
        <w:t xml:space="preserve">Request true transaction-level dates and a cost/margin field in future extracts to unlock daily seasonality and profitability analysis.</w:t>
      </w:r>
    </w:p>
    <w:p>
      <w:pPr>
        <w:pStyle w:val="ListParagraph"/>
        <w:numPr>
          <w:ilvl w:val="0"/>
          <w:numId w:val="1"/>
        </w:numPr>
        <w:spacing w:after="80"/>
      </w:pPr>
      <w:r>
        <w:rPr>
          <w:color w:val="222222"/>
          <w:sz w:val="21"/>
          <w:szCs w:val="21"/>
        </w:rPr>
        <w:t xml:space="preserve">Operate the dashboard live — because all figures are formula-driven off the Data sheet, refreshing the data updates every KPI and chart automatically.</w:t>
      </w:r>
    </w:p>
    <w:p>
      <w:pPr>
        <w:spacing w:before="400"/>
      </w:pPr>
    </w:p>
    <w:p>
      <w:pPr>
        <w:jc w:val="center"/>
      </w:pPr>
      <w:r>
        <w:rPr>
          <w:i/>
          <w:iCs/>
          <w:color w:val="666666"/>
          <w:sz w:val="19"/>
          <w:szCs w:val="19"/>
        </w:rPr>
        <w:t xml:space="preserve">Prepared by Dharshini Gopi — Excel Data Analytics Capstone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2026-09-20T12:18:34.159Z</dcterms:created>
  <dcterms:modified xsi:type="dcterms:W3CDTF">2026-09-20T12:18:34.167Z</dcterms:modified>
</cp:coreProperties>
</file>

<file path=docProps/custom.xml><?xml version="1.0" encoding="utf-8"?>
<Properties xmlns="http://schemas.openxmlformats.org/officeDocument/2006/custom-properties" xmlns:vt="http://schemas.openxmlformats.org/officeDocument/2006/docPropsVTypes"/>
</file>