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2. Requirement Analysis Phase</w:t>
      </w:r>
    </w:p>
    <w:p>
      <w:r>
        <w:t>Project: Auto Ticket Classification using ServiceNow Flow Designer</w:t>
      </w:r>
    </w:p>
    <w:p>
      <w:pPr>
        <w:pStyle w:val="Heading2"/>
      </w:pPr>
      <w:r>
        <w:t>Functional requirements</w:t>
      </w:r>
    </w:p>
    <w:p>
      <w:r>
        <w:t>1. Trigger when an incident is created. 2. Read the short description and relevant fields. 3. Match keywords against defined rules. 4. Set category and subcategory where appropriate. 5. Set assignment group when a matching group exists. 6. Add a work note explaining the classification rule. 7. Leave unmatched tickets unchanged or mark them for manual review.</w:t>
      </w:r>
    </w:p>
    <w:p>
      <w:pPr>
        <w:pStyle w:val="Heading2"/>
      </w:pPr>
      <w:r>
        <w:t>Non-functional requirements</w:t>
      </w:r>
    </w:p>
    <w:p>
      <w:r>
        <w:t>Rules should be understandable, testable, maintainable, and safe. The flow should avoid overwriting fields unnecessarily and should not close or resolve tickets automatically.</w:t>
      </w:r>
    </w:p>
    <w:p>
      <w:pPr>
        <w:pStyle w:val="Heading2"/>
      </w:pPr>
      <w:r>
        <w:t>Inputs</w:t>
      </w:r>
    </w:p>
    <w:p>
      <w:r>
        <w:t>Incident number, short description, description, category, subcategory, assignment group, state, and priority (as available in the instance).</w:t>
      </w:r>
    </w:p>
    <w:p>
      <w:pPr>
        <w:pStyle w:val="Heading2"/>
      </w:pPr>
      <w:r>
        <w:t>Outputs</w:t>
      </w:r>
    </w:p>
    <w:p>
      <w:r>
        <w:t>Updated category/subcategory, assignment group (if configured), and a work note that records the rule used.</w:t>
      </w:r>
    </w:p>
    <w:p>
      <w:pPr>
        <w:pStyle w:val="Heading2"/>
      </w:pPr>
      <w:r>
        <w:t>Assumptions</w:t>
      </w:r>
    </w:p>
    <w:p>
      <w:r>
        <w:t>The user has permission to create and activate flows, edit Incident records, and access the required groups and choice values. Exact choice labels and group names vary by ServiceNow instance.</w:t>
      </w:r>
    </w:p>
    <w:p>
      <w:pPr>
        <w:pStyle w:val="Heading2"/>
      </w:pPr>
      <w:r>
        <w:t>Business rules table</w:t>
      </w:r>
    </w:p>
    <w:p>
      <w:r>
        <w:t>Rule 1: description contains “wifi”, “network”, or “internet” → Network / Wireless (if available). Rule 2: contains “outlook” or “email” → Software / Email. Rule 3: contains “keyboard”, “monitor”, or “laptop” → Hardware / appropriate subcategory. Rule 4: contains “password” or “login” → Inquiry / appropriate subcategory. If no rule matches, do not force a classification; add a manual-review note if desired.</w:t>
      </w:r>
    </w:p>
    <w:p>
      <w:pPr>
        <w:pStyle w:val="Heading2"/>
      </w:pPr>
      <w:r>
        <w:t>Acceptance criteria</w:t>
      </w:r>
    </w:p>
    <w:p>
      <w:r>
        <w:t>A newly created matching incident receives the expected classification; unmatched incidents remain safe for manual triage; the flow run can be inspected; no incident is automatically resolved.</w:t>
      </w:r>
    </w:p>
    <w:p>
      <w:r>
        <w:br/>
        <w:t>Note: ServiceNow menus, roles, field choices, and Flow Designer actions may vary by release and instance. Verify the available values in your own instance.</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