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3. Project Design Phase</w:t>
      </w:r>
    </w:p>
    <w:p>
      <w:r>
        <w:t>Project: Auto Ticket Classification using ServiceNow Flow Designer</w:t>
      </w:r>
    </w:p>
    <w:p>
      <w:pPr>
        <w:pStyle w:val="Heading2"/>
      </w:pPr>
      <w:r>
        <w:t>Architecture</w:t>
      </w:r>
    </w:p>
    <w:p>
      <w:r>
        <w:t>Incident [incident] record → Flow Designer trigger (record created) → normalize/read short description → If/Else keyword conditions → update incident fields → add work note → end.</w:t>
      </w:r>
    </w:p>
    <w:p>
      <w:pPr>
        <w:pStyle w:val="Heading2"/>
      </w:pPr>
      <w:r>
        <w:t>Flow name</w:t>
      </w:r>
    </w:p>
    <w:p>
      <w:r>
        <w:t>Auto Ticket Classification</w:t>
      </w:r>
    </w:p>
    <w:p>
      <w:pPr>
        <w:pStyle w:val="Heading2"/>
      </w:pPr>
      <w:r>
        <w:t>Trigger</w:t>
      </w:r>
    </w:p>
    <w:p>
      <w:r>
        <w:t>ServiceNow Flow Designer: ServiceNow Core trigger for a record created on the Incident [incident] table. If your release offers a created-or-updated trigger, prefer Created only for the first version to avoid repeated classification.</w:t>
      </w:r>
    </w:p>
    <w:p>
      <w:pPr>
        <w:pStyle w:val="Heading2"/>
      </w:pPr>
      <w:r>
        <w:t>Flow outline</w:t>
      </w:r>
    </w:p>
    <w:p>
      <w:r>
        <w:t>1. Trigger: Incident record created. 2. Optional guard: short description is not empty. 3. If network keywords match, set category/subcategory and optional assignment group. 4. Else if email keywords match, set software/email values. 5. Else if hardware keywords match, set hardware values. 6. Else if password/login keywords match, set inquiry/access values. 7. Add work notes describing the selected rule. 8. Save and activate after testing.</w:t>
      </w:r>
    </w:p>
    <w:p>
      <w:pPr>
        <w:pStyle w:val="Heading2"/>
      </w:pPr>
      <w:r>
        <w:t>Data mapping</w:t>
      </w:r>
    </w:p>
    <w:p>
      <w:r>
        <w:t>Use the actual choice values shown by your instance. Category/subcategory labels may differ. Assignment groups must already exist; select them using the Flow Designer data picker rather than typing an assumed sys_id.</w:t>
      </w:r>
    </w:p>
    <w:p>
      <w:pPr>
        <w:pStyle w:val="Heading2"/>
      </w:pPr>
      <w:r>
        <w:t>Loop/recursion prevention</w:t>
      </w:r>
    </w:p>
    <w:p>
      <w:r>
        <w:t>Use a Created trigger and avoid triggering the flow on its own update. If a Created or Updated trigger is required, add a condition such as “Classification status is not Complete” and set the status to Complete after classification.</w:t>
      </w:r>
    </w:p>
    <w:p>
      <w:pPr>
        <w:pStyle w:val="Heading2"/>
      </w:pPr>
      <w:r>
        <w:t>Error handling</w:t>
      </w:r>
    </w:p>
    <w:p>
      <w:r>
        <w:t>If an expected category or group is unavailable, omit that update and document the local equivalent. Test the flow in a sub-production instance before using it in production.</w:t>
      </w:r>
    </w:p>
    <w:p>
      <w:r>
        <w:br/>
        <w:t>Note: ServiceNow menus, roles, field choices, and Flow Designer actions may vary by release and instance. Verify the available values in your own instance.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