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4. Project Planning Phase</w:t>
      </w:r>
    </w:p>
    <w:p>
      <w:r>
        <w:t>Project: Auto Ticket Classification using ServiceNow Flow Designer</w:t>
      </w:r>
    </w:p>
    <w:p>
      <w:pPr>
        <w:pStyle w:val="Heading2"/>
      </w:pPr>
      <w:r>
        <w:t>Suggested schedule</w:t>
      </w:r>
    </w:p>
    <w:p>
      <w:r>
        <w:t>Day 1: confirm scope and rules. Day 2: inspect Incident fields and choice values. Day 3: build the flow. Day 4: test matching and unmatched tickets. Day 5: document, demonstrate, and collect feedback.</w:t>
      </w:r>
    </w:p>
    <w:p>
      <w:pPr>
        <w:pStyle w:val="Heading2"/>
      </w:pPr>
      <w:r>
        <w:t>Resources</w:t>
      </w:r>
    </w:p>
    <w:p>
      <w:r>
        <w:t>ServiceNow instance with Flow Designer, access to Incident [incident], sample incidents, existing support groups, and a browser.</w:t>
      </w:r>
    </w:p>
    <w:p>
      <w:pPr>
        <w:pStyle w:val="Heading2"/>
      </w:pPr>
      <w:r>
        <w:t>Tasks</w:t>
      </w:r>
    </w:p>
    <w:p>
      <w:r>
        <w:t>1. Confirm roles and access. 2. Record available category/subcategory values. 3. Confirm assignment groups. 4. Build and save flow inactive. 5. Test with sample records. 6. Fix rule order and field mappings. 7. Activate only after approval. 8. Prepare screenshots and final report.</w:t>
      </w:r>
    </w:p>
    <w:p>
      <w:pPr>
        <w:pStyle w:val="Heading2"/>
      </w:pPr>
      <w:r>
        <w:t>Risks and mitigation</w:t>
      </w:r>
    </w:p>
    <w:p>
      <w:r>
        <w:t>Incorrect keyword match: use specific terms and test edge cases. Wrong group: verify group names and obtain owner approval. Choice value mismatch: select values from the instance UI. Repeated updates: use a Created trigger or a guard condition. Production impact: test in a development instance first.</w:t>
      </w:r>
    </w:p>
    <w:p>
      <w:pPr>
        <w:pStyle w:val="Heading2"/>
      </w:pPr>
      <w:r>
        <w:t>Success measures</w:t>
      </w:r>
    </w:p>
    <w:p>
      <w:r>
        <w:t>All defined test cases produce expected classifications; unmatched cases remain available for human review; no automatic resolution occurs; flow execution details are visible.</w:t>
      </w:r>
    </w:p>
    <w:p>
      <w:r>
        <w:br/>
        <w:t>Note: ServiceNow menus, roles, field choices, and Flow Designer actions may vary by release and instance. Verify the available values in your own instance.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