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6. Project Testing Phase</w:t>
      </w:r>
    </w:p>
    <w:p>
      <w:r>
        <w:t>Project: Auto Ticket Classification using ServiceNow Flow Designer</w:t>
      </w:r>
    </w:p>
    <w:p>
      <w:pPr>
        <w:pStyle w:val="Heading2"/>
      </w:pPr>
      <w:r>
        <w:t>Testing method</w:t>
      </w:r>
    </w:p>
    <w:p>
      <w:r>
        <w:t>Create sample incidents in a development/test instance. Verify the saved field values and the Flow Designer execution details after each test.</w:t>
      </w:r>
    </w:p>
    <w:p>
      <w:pPr>
        <w:pStyle w:val="Heading2"/>
      </w:pPr>
      <w:r>
        <w:t>Test cases</w:t>
      </w:r>
    </w:p>
    <w:p>
      <w:r>
        <w:t>TC01: “Wi-Fi connection is not working” → Network/Wireless (if configured). TC02: “Outlook email is not opening” → Software/Email. TC03: “Laptop keyboard is damaged” → Hardware/Peripheral (according to local choices). TC04: “Please reset my password” → Inquiry/access-related choice (according to local choices). TC05: “Need help with a new application” → no forced classification; manual review. TC06: empty short description → flow should skip classification or handle safely. TC07: incident with a manually chosen category → confirm the flow follows the agreed overwrite policy.</w:t>
      </w:r>
    </w:p>
    <w:p>
      <w:pPr>
        <w:pStyle w:val="Heading2"/>
      </w:pPr>
      <w:r>
        <w:t>Expected results</w:t>
      </w:r>
    </w:p>
    <w:p>
      <w:r>
        <w:t>Matching incidents receive the mapped values and an explanatory work note. Unmatched or incomplete records are not assigned an arbitrary category. No record is resolved or closed by the flow.</w:t>
      </w:r>
    </w:p>
    <w:p>
      <w:pPr>
        <w:pStyle w:val="Heading2"/>
      </w:pPr>
      <w:r>
        <w:t>Defect log template</w:t>
      </w:r>
    </w:p>
    <w:p>
      <w:r>
        <w:t>Test ID | Actual result | Expected result | Pass/Fail | Notes. Record screenshots or incident numbers without exposing sensitive production data.</w:t>
      </w:r>
    </w:p>
    <w:p>
      <w:pPr>
        <w:pStyle w:val="Heading2"/>
      </w:pPr>
      <w:r>
        <w:t>Exit criteria</w:t>
      </w:r>
    </w:p>
    <w:p>
      <w:r>
        <w:t>All core tests pass, no critical defects remain, and a reviewer approves the rule mapping.</w:t>
      </w:r>
    </w:p>
    <w:p>
      <w:r>
        <w:br/>
        <w:t>Note: ServiceNow menus, roles, field choices, and Flow Designer actions may vary by release and instance. Verify the available values in your own instance.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