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8. Project Demonstration Phase</w:t>
      </w:r>
    </w:p>
    <w:p>
      <w:r>
        <w:t>Project: Auto Ticket Classification using ServiceNow Flow Designer</w:t>
      </w:r>
    </w:p>
    <w:p>
      <w:pPr>
        <w:pStyle w:val="Heading2"/>
      </w:pPr>
      <w:r>
        <w:t>Demonstration preparation</w:t>
      </w:r>
    </w:p>
    <w:p>
      <w:r>
        <w:t>Use a development/test instance. Confirm the flow is active, the mapped choices and groups exist, and test records contain no sensitive information.</w:t>
      </w:r>
    </w:p>
    <w:p>
      <w:pPr>
        <w:pStyle w:val="Heading2"/>
      </w:pPr>
      <w:r>
        <w:t>Demo sequence</w:t>
      </w:r>
    </w:p>
    <w:p>
      <w:r>
        <w:t>1. Explain the manual classification problem. 2. Open the Auto Ticket Classification flow and show its trigger and rules. 3. Create a test incident with a network keyword. 4. Save the incident. 5. Refresh/open the incident and show the category/subcategory, optional group, and work note. 6. Repeat with an email or hardware example. 7. Create an unmatched ticket and show that it remains for manual review. 8. Open Flow Designer execution details to show the run. 9. Summarize benefits and limitations.</w:t>
      </w:r>
    </w:p>
    <w:p>
      <w:pPr>
        <w:pStyle w:val="Heading2"/>
      </w:pPr>
      <w:r>
        <w:t>Sample demo inputs</w:t>
      </w:r>
    </w:p>
    <w:p>
      <w:r>
        <w:t>1. “Wi-Fi is disconnected in the office.” 2. “Outlook is not opening.” 3. “Laptop keyboard is damaged.” 4. “Request information about a new tool.”</w:t>
      </w:r>
    </w:p>
    <w:p>
      <w:pPr>
        <w:pStyle w:val="Heading2"/>
      </w:pPr>
      <w:r>
        <w:t>What to explain</w:t>
      </w:r>
    </w:p>
    <w:p>
      <w:r>
        <w:t>The flow is triggered by a new incident, evaluates keyword conditions, updates selected fields, and records the rule used. It does not automatically resolve tickets. Actual category, subcategory, and group labels depend on the instance.</w:t>
      </w:r>
    </w:p>
    <w:p>
      <w:pPr>
        <w:pStyle w:val="Heading2"/>
      </w:pPr>
      <w:r>
        <w:t>Final checklist</w:t>
      </w:r>
    </w:p>
    <w:p>
      <w:r>
        <w:t>Flow saved and activated after testing; sample incidents ready; expected field values verified; screenshots captured; test results documented; no real user data exposed.</w:t>
      </w:r>
    </w:p>
    <w:p>
      <w:r>
        <w:br/>
        <w:t>Note: ServiceNow menus, roles, field choices, and Flow Designer actions may vary by release and instance. Verify the available values in your own instance.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