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1A365D"/>
            <w:tcMar>
              <w:top w:w="360" w:type="dxa"/>
              <w:bottom w:w="360" w:type="dxa"/>
              <w:left w:w="280" w:type="dxa"/>
              <w:right w:w="280" w:type="dxa"/>
            </w:tcMar>
          </w:tcPr>
          <w:p>
            <w:pPr>
              <w:spacing w:after="80"/>
              <w:jc w:val="left"/>
            </w:pPr>
            <w:r>
              <w:rPr>
                <w:b/>
                <w:color w:val="FFFFFF"/>
                <w:sz w:val="44"/>
              </w:rPr>
              <w:t>Smart Recipe Box &amp; Automated Grocery List Generator</w:t>
            </w:r>
          </w:p>
          <w:p>
            <w:pPr>
              <w:spacing w:after="280"/>
            </w:pPr>
            <w:r>
              <w:rPr>
                <w:color w:val="BEE3F8"/>
                <w:sz w:val="24"/>
              </w:rPr>
              <w:t>Detailed Systems Architecture &amp; Implementation Project Report</w:t>
            </w:r>
          </w:p>
          <w:p>
            <w:pPr>
              <w:spacing w:after="0"/>
            </w:pPr>
            <w:r>
              <w:rPr>
                <w:color w:val="E2E8F0"/>
                <w:sz w:val="19"/>
              </w:rPr>
              <w:t>Domain: Data Consolidation Engines &amp; NoSQL Databases   |   Environment: Console-Based Python App</w:t>
            </w:r>
          </w:p>
        </w:tc>
      </w:tr>
    </w:tbl>
    <w:p>
      <w:pPr>
        <w:spacing w:before="300"/>
      </w:pPr>
    </w:p>
    <w:p>
      <w:pPr>
        <w:keepNext/>
        <w:spacing w:before="440" w:after="120"/>
      </w:pPr>
      <w:r>
        <w:rPr>
          <w:b/>
          <w:color w:val="1A365D"/>
          <w:sz w:val="28"/>
        </w:rPr>
        <w:t>1. Introduction &amp; Project Objective</w:t>
      </w:r>
    </w:p>
    <w:p>
      <w:pPr>
        <w:spacing w:after="200" w:line="300" w:lineRule="auto"/>
      </w:pPr>
      <w:r>
        <w:t>The Smart Recipe Box &amp; Automated Grocery List Generator is an optimized data consolidation engine designed to eliminate manual data entry errors and structural redundancy during multi-meal grocery planning. Standard culinary database architectures display standalone recipe guidelines but fail to systematically combine, parse, and scale cumulative provisioning demands.</w:t>
      </w:r>
    </w:p>
    <w:p>
      <w:pPr>
        <w:spacing w:after="200" w:line="300" w:lineRule="auto"/>
      </w:pPr>
      <w:r>
        <w:t>The primary core objective is to design a lightweight terminal-hosted architecture interacting seamlessly with a document-oriented database layer. Users can commit flexible, dynamically structured ingredient documents and simultaneously compile arbitrary groups of distinct menus. The underlying backend software engine evaluates text tokens, merges matching structural payloads, resolves relational mathematical scaling, and generates a singular, clean grocery manifest segmented by standard commercial layout aisles.</w:t>
      </w:r>
    </w:p>
    <w:p>
      <w:pPr>
        <w:keepNext/>
        <w:spacing w:before="440" w:after="120"/>
      </w:pPr>
      <w:r>
        <w:rPr>
          <w:b/>
          <w:color w:val="1A365D"/>
          <w:sz w:val="28"/>
        </w:rPr>
        <w:t>2. Structural Tools &amp; System Requirements</w:t>
      </w:r>
    </w:p>
    <w:p>
      <w:pPr>
        <w:spacing w:after="200" w:line="300" w:lineRule="auto"/>
      </w:pPr>
      <w:r>
        <w:t>To preserve horizontal scaling capacity and limit computational overhead, the architecture rejects bulky intermediate application layers in favor of native data manipulation pipelines:</w:t>
      </w:r>
    </w:p>
    <w:p>
      <w:pPr>
        <w:pStyle w:val="ListBullet"/>
        <w:spacing w:after="80"/>
      </w:pPr>
      <w:r>
        <w:rPr>
          <w:b/>
        </w:rPr>
        <w:t>Language Environment (Python v3.10+):</w:t>
      </w:r>
      <w:r>
        <w:t xml:space="preserve"> Utilized for its highly efficient native dictionary data collections, flexible text-parsing tools, and immediate runtime execution layout.</w:t>
      </w:r>
    </w:p>
    <w:p>
      <w:pPr>
        <w:pStyle w:val="ListBullet"/>
        <w:spacing w:after="80"/>
      </w:pPr>
      <w:r>
        <w:rPr>
          <w:b/>
        </w:rPr>
        <w:t>Database Management System (MongoDB):</w:t>
      </w:r>
      <w:r>
        <w:t xml:space="preserve"> Selected over traditional SQL engines. Recipes are inherently polymorphic and semi-structured—incorporating variable dimensions, nested arrays, and shifting fields. MongoDB maps these schemas efficiently inside an isolated Binary JSON (BSON) collection object.</w:t>
      </w:r>
    </w:p>
    <w:p>
      <w:pPr>
        <w:pStyle w:val="ListBullet"/>
        <w:spacing w:after="80"/>
      </w:pPr>
      <w:r>
        <w:rPr>
          <w:b/>
        </w:rPr>
        <w:t>Database Integration Driver (PyMongo):</w:t>
      </w:r>
      <w:r>
        <w:t xml:space="preserve"> The formal synchronous client driver layer providing high-performance, direct execution access hooks from the active execution thread to the local or cloud storage collections.</w:t>
      </w:r>
    </w:p>
    <w:p>
      <w:pPr>
        <w:pStyle w:val="ListBullet"/>
        <w:spacing w:after="80"/>
      </w:pPr>
      <w:r>
        <w:rPr>
          <w:b/>
        </w:rPr>
        <w:t>Integrated Development Environment (VS Code):</w:t>
      </w:r>
      <w:r>
        <w:t xml:space="preserve"> Integrated with dedicated linting and workspace debugging environments to accurately verify functional operational pipelines.</w:t>
      </w:r>
    </w:p>
    <w:p>
      <w:pPr>
        <w:keepNext/>
        <w:spacing w:before="440" w:after="120"/>
      </w:pPr>
      <w:r>
        <w:rPr>
          <w:b/>
          <w:color w:val="1A365D"/>
          <w:sz w:val="28"/>
        </w:rPr>
        <w:t>3. Database Architecture &amp; Data Modeling</w:t>
      </w:r>
    </w:p>
    <w:p>
      <w:pPr>
        <w:spacing w:after="200" w:line="300" w:lineRule="auto"/>
      </w:pPr>
      <w:r>
        <w:t>Rather than utilizing high-overhead normalized tables connected through heavily joined database relationships, storage operations use the document embedding structural paradigm. Ingredients exist as native sub-documents inside an isolated database collection named recipes.</w:t>
      </w:r>
    </w:p>
    <w:p>
      <w:pPr>
        <w:keepNext/>
        <w:spacing w:before="280" w:after="80"/>
      </w:pPr>
      <w:r>
        <w:rPr>
          <w:b/>
          <w:color w:val="2B6CB0"/>
          <w:sz w:val="23"/>
        </w:rPr>
        <w:t>Document Schema Object Layout Blueprint</w:t>
      </w:r>
    </w:p>
    <w:tbl>
      <w:tblPr>
        <w:tblW w:type="auto" w:w="0"/>
        <w:jc w:val="center"/>
        <w:tblLayout w:type="fixed"/>
        <w:tblLook w:firstColumn="1" w:firstRow="1" w:lastColumn="0" w:lastRow="0" w:noHBand="0" w:noVBand="1" w:val="04A0"/>
      </w:tblPr>
      <w:tblGrid>
        <w:gridCol w:w="9936"/>
      </w:tblGrid>
      <w:tr>
        <w:tc>
          <w:tcPr>
            <w:tcW w:type="dxa" w:w="9936"/>
            <w:shd w:fill="F7FAFC"/>
            <w:tcMar>
              <w:top w:w="140" w:type="dxa"/>
              <w:bottom w:w="140" w:type="dxa"/>
              <w:left w:w="180" w:type="dxa"/>
              <w:right w:w="180" w:type="dxa"/>
            </w:tcMar>
            <w:tcBorders>
              <w:left w:val="single" w:sz="12" w:space="0" w:color="2B6CB0"/>
              <w:top w:val="none"/>
              <w:bottom w:val="none"/>
              <w:right w:val="none"/>
            </w:tcBorders>
          </w:tcPr>
          <w:p>
            <w:pPr>
              <w:spacing w:after="0"/>
            </w:pPr>
            <w:r>
              <w:rPr>
                <w:rFonts w:ascii="Consolas" w:hAnsi="Consolas"/>
                <w:color w:val="2D3748"/>
                <w:sz w:val="18"/>
              </w:rPr>
              <w:t>{</w:t>
              <w:br/>
              <w:t xml:space="preserve">  "_id": "ObjectId",</w:t>
              <w:br/>
              <w:t xml:space="preserve">  "title": "String (Title Case Formatter)",</w:t>
              <w:br/>
              <w:t xml:space="preserve">  "servings": "Integer",</w:t>
              <w:br/>
              <w:t xml:space="preserve">  "ingredients": [</w:t>
              <w:br/>
              <w:t xml:space="preserve">    {</w:t>
              <w:br/>
              <w:t xml:space="preserve">      "name": "String (Normalized Lowercase Identifier Token)",</w:t>
              <w:br/>
              <w:t xml:space="preserve">      "quantity": "Float (Double Precision Math Variable)",</w:t>
              <w:br/>
              <w:t xml:space="preserve">      "unit": "String (Standardized Lowercase Units Group)",</w:t>
              <w:br/>
              <w:t xml:space="preserve">      "category": "String (Capitalized Display Label Group)"</w:t>
              <w:br/>
              <w:t xml:space="preserve">    }</w:t>
              <w:br/>
              <w:t xml:space="preserve">  ]</w:t>
              <w:br/>
              <w:t>}</w:t>
            </w:r>
          </w:p>
        </w:tc>
      </w:tr>
    </w:tbl>
    <w:p>
      <w:pPr>
        <w:spacing w:before="120"/>
      </w:pPr>
    </w:p>
    <w:p>
      <w:pPr>
        <w:keepNext/>
        <w:spacing w:before="440" w:after="120"/>
      </w:pPr>
      <w:r>
        <w:rPr>
          <w:b/>
          <w:color w:val="1A365D"/>
          <w:sz w:val="28"/>
        </w:rPr>
        <w:t>4. Software Design &amp; Module Breakdown</w:t>
      </w:r>
    </w:p>
    <w:p>
      <w:pPr>
        <w:spacing w:after="200" w:line="300" w:lineRule="auto"/>
      </w:pPr>
      <w:r>
        <w:t>The operational backend implementation separates logical responsibility across four cleanly isolated script files to reinforce object-oriented and loose-coupling computer science principles: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4968"/>
        <w:gridCol w:w="4968"/>
      </w:tblGrid>
      <w:tr>
        <w:tc>
          <w:tcPr>
            <w:tcW w:type="dxa" w:w="2160"/>
            <w:shd w:fill="F7FAFC"/>
            <w:tcMar>
              <w:top w:w="100" w:type="dxa"/>
              <w:bottom w:w="100" w:type="dxa"/>
              <w:left w:w="120" w:type="dxa"/>
              <w:right w:w="120" w:type="dxa"/>
            </w:tcMar>
          </w:tcPr>
          <w:p>
            <w:r>
              <w:rPr>
                <w:b/>
                <w:color w:val="1A365D"/>
              </w:rPr>
              <w:t>Module File</w:t>
            </w:r>
          </w:p>
        </w:tc>
        <w:tc>
          <w:tcPr>
            <w:tcW w:type="dxa" w:w="7776"/>
            <w:shd w:fill="F7FAFC"/>
            <w:tcMar>
              <w:top w:w="100" w:type="dxa"/>
              <w:bottom w:w="100" w:type="dxa"/>
              <w:left w:w="120" w:type="dxa"/>
              <w:right w:w="120" w:type="dxa"/>
            </w:tcMar>
          </w:tcPr>
          <w:p>
            <w:r>
              <w:rPr>
                <w:b/>
                <w:color w:val="1A365D"/>
              </w:rPr>
              <w:t>Primary Engineering Purpose &amp; Key Architecture Responsibilities</w:t>
            </w:r>
          </w:p>
        </w:tc>
      </w:tr>
      <w:tr>
        <w:tc>
          <w:tcPr>
            <w:tcW w:type="dxa" w:w="2160"/>
            <w:tcMar>
              <w:top w:w="100" w:type="dxa"/>
              <w:bottom w:w="100" w:type="dxa"/>
              <w:left w:w="120" w:type="dxa"/>
              <w:right w:w="120" w:type="dxa"/>
            </w:tcMar>
          </w:tcPr>
          <w:p>
            <w:r>
              <w:rPr>
                <w:rFonts w:ascii="Consolas" w:hAnsi="Consolas"/>
                <w:sz w:val="19"/>
              </w:rPr>
              <w:t>config.py</w:t>
            </w:r>
          </w:p>
        </w:tc>
        <w:tc>
          <w:tcPr>
            <w:tcW w:type="dxa" w:w="7776"/>
            <w:tcMar>
              <w:top w:w="100" w:type="dxa"/>
              <w:bottom w:w="100" w:type="dxa"/>
              <w:left w:w="120" w:type="dxa"/>
              <w:right w:w="120" w:type="dxa"/>
            </w:tcMar>
          </w:tcPr>
          <w:p>
            <w:r>
              <w:t>Abstracts database initialization. Establishes the core structural connection handler with the running client instance using the utility function get_database().</w:t>
            </w:r>
          </w:p>
        </w:tc>
      </w:tr>
      <w:tr>
        <w:tc>
          <w:tcPr>
            <w:tcW w:type="dxa" w:w="2160"/>
            <w:tcMar>
              <w:top w:w="100" w:type="dxa"/>
              <w:bottom w:w="100" w:type="dxa"/>
              <w:left w:w="120" w:type="dxa"/>
              <w:right w:w="120" w:type="dxa"/>
            </w:tcMar>
          </w:tcPr>
          <w:p>
            <w:r>
              <w:rPr>
                <w:rFonts w:ascii="Consolas" w:hAnsi="Consolas"/>
                <w:sz w:val="19"/>
              </w:rPr>
              <w:t>models.py</w:t>
            </w:r>
          </w:p>
        </w:tc>
        <w:tc>
          <w:tcPr>
            <w:tcW w:type="dxa" w:w="7776"/>
            <w:tcMar>
              <w:top w:w="100" w:type="dxa"/>
              <w:bottom w:w="100" w:type="dxa"/>
              <w:left w:w="120" w:type="dxa"/>
              <w:right w:w="120" w:type="dxa"/>
            </w:tcMar>
          </w:tcPr>
          <w:p>
            <w:r>
              <w:t>Enforces pre-persistence validation. Normalizes incoming raw strings, eliminates outer whitespaces, and structures uniform items using create_ingredient_dict() and create_recipe_dict().</w:t>
            </w:r>
          </w:p>
        </w:tc>
      </w:tr>
      <w:tr>
        <w:tc>
          <w:tcPr>
            <w:tcW w:type="dxa" w:w="2160"/>
            <w:tcMar>
              <w:top w:w="100" w:type="dxa"/>
              <w:bottom w:w="100" w:type="dxa"/>
              <w:left w:w="120" w:type="dxa"/>
              <w:right w:w="120" w:type="dxa"/>
            </w:tcMar>
          </w:tcPr>
          <w:p>
            <w:r>
              <w:rPr>
                <w:rFonts w:ascii="Consolas" w:hAnsi="Consolas"/>
                <w:sz w:val="19"/>
              </w:rPr>
              <w:t>engine.py</w:t>
            </w:r>
          </w:p>
        </w:tc>
        <w:tc>
          <w:tcPr>
            <w:tcW w:type="dxa" w:w="7776"/>
            <w:tcMar>
              <w:top w:w="100" w:type="dxa"/>
              <w:bottom w:w="100" w:type="dxa"/>
              <w:left w:w="120" w:type="dxa"/>
              <w:right w:w="120" w:type="dxa"/>
            </w:tcMar>
          </w:tcPr>
          <w:p>
            <w:r>
              <w:t>Acts as the core computational processing engine. Interacts directly with PyMongo collection handles via save_recipe_to_db(), handles lookups with fetch_all_recipes(), and executes the deduplication logic.</w:t>
            </w:r>
          </w:p>
        </w:tc>
      </w:tr>
      <w:tr>
        <w:tc>
          <w:tcPr>
            <w:tcW w:type="dxa" w:w="2160"/>
            <w:tcMar>
              <w:top w:w="100" w:type="dxa"/>
              <w:bottom w:w="100" w:type="dxa"/>
              <w:left w:w="120" w:type="dxa"/>
              <w:right w:w="120" w:type="dxa"/>
            </w:tcMar>
          </w:tcPr>
          <w:p>
            <w:r>
              <w:rPr>
                <w:rFonts w:ascii="Consolas" w:hAnsi="Consolas"/>
                <w:sz w:val="19"/>
              </w:rPr>
              <w:t>main.py</w:t>
            </w:r>
          </w:p>
        </w:tc>
        <w:tc>
          <w:tcPr>
            <w:tcW w:type="dxa" w:w="7776"/>
            <w:tcMar>
              <w:top w:w="100" w:type="dxa"/>
              <w:bottom w:w="100" w:type="dxa"/>
              <w:left w:w="120" w:type="dxa"/>
              <w:right w:w="120" w:type="dxa"/>
            </w:tcMar>
          </w:tcPr>
          <w:p>
            <w:r>
              <w:t>Coordinates user presentation loops via terminal interfaces. Captures inputs, coordinates step-by-step application flows, performs basic exception handling, and structures console outputs.</w:t>
            </w:r>
          </w:p>
        </w:tc>
      </w:tr>
    </w:tbl>
    <w:p>
      <w:pPr>
        <w:spacing w:before="200"/>
      </w:pPr>
    </w:p>
    <w:p>
      <w:pPr>
        <w:keepNext/>
        <w:spacing w:before="440" w:after="120"/>
      </w:pPr>
      <w:r>
        <w:rPr>
          <w:b/>
          <w:color w:val="1A365D"/>
          <w:sz w:val="28"/>
        </w:rPr>
        <w:t>5. Algorithmic Processing &amp; Consolidation Logic</w:t>
      </w:r>
    </w:p>
    <w:p>
      <w:pPr>
        <w:spacing w:after="200" w:line="300" w:lineRule="auto"/>
      </w:pPr>
      <w:r>
        <w:t>The foundational core capability of the application rests on compiling intersecting recipe entities without creating string indexing duplication. This is handled using a custom multi-key dictionary matching system.</w:t>
      </w:r>
    </w:p>
    <w:tbl>
      <w:tblPr>
        <w:tblW w:type="auto" w:w="0"/>
        <w:jc w:val="center"/>
        <w:tblLayout w:type="fixed"/>
        <w:tblLook w:firstColumn="1" w:firstRow="1" w:lastColumn="0" w:lastRow="0" w:noHBand="0" w:noVBand="1" w:val="04A0"/>
      </w:tblPr>
      <w:tblGrid>
        <w:gridCol w:w="9936"/>
      </w:tblGrid>
      <w:tr>
        <w:tc>
          <w:tcPr>
            <w:tcW w:type="dxa" w:w="9936"/>
            <w:shd w:fill="EBF8FF"/>
            <w:tcMar>
              <w:top w:w="120" w:type="dxa"/>
              <w:bottom w:w="120" w:type="dxa"/>
              <w:left w:w="150" w:type="dxa"/>
              <w:right w:w="150" w:type="dxa"/>
            </w:tcMar>
            <w:tcBorders>
              <w:left w:val="single" w:sz="24" w:space="0" w:color="3182CE"/>
              <w:top w:val="none"/>
              <w:bottom w:val="none"/>
              <w:right w:val="none"/>
            </w:tcBorders>
          </w:tcPr>
          <w:p>
            <w:pPr>
              <w:spacing w:after="0"/>
            </w:pPr>
            <w:r>
              <w:rPr>
                <w:b/>
                <w:color w:val="2B6CB0"/>
              </w:rPr>
              <w:t xml:space="preserve">The Compound Map Formulation Rule: </w:t>
            </w:r>
            <w:r>
              <w:rPr>
                <w:color w:val="2B6CB0"/>
              </w:rPr>
              <w:t xml:space="preserve">Let the unique evaluation string key be defined mathematically as the continuous combination mapping function: </w:t>
            </w:r>
            <w:r>
              <w:rPr>
                <w:rFonts w:ascii="Times New Roman" w:hAnsi="Times New Roman"/>
                <w:b/>
                <w:i/>
                <w:color w:val="1A365D"/>
              </w:rPr>
              <w:t>K = name_normalized + "_" + unit_normalized</w:t>
            </w:r>
          </w:p>
        </w:tc>
      </w:tr>
    </w:tbl>
    <w:p>
      <w:pPr>
        <w:spacing w:before="200"/>
      </w:pPr>
    </w:p>
    <w:p>
      <w:pPr>
        <w:keepNext/>
        <w:spacing w:before="280" w:after="80"/>
      </w:pPr>
      <w:r>
        <w:rPr>
          <w:b/>
          <w:color w:val="2B6CB0"/>
          <w:sz w:val="23"/>
        </w:rPr>
        <w:t>Consolidation Engine Step-by-Step Execution Lifecycle:</w:t>
      </w:r>
    </w:p>
    <w:p>
      <w:pPr>
        <w:pStyle w:val="ListBullet"/>
        <w:spacing w:after="80"/>
      </w:pPr>
      <w:r>
        <w:rPr>
          <w:b/>
        </w:rPr>
        <w:t>Initialization:</w:t>
      </w:r>
      <w:r>
        <w:t xml:space="preserve"> The execution block receives an array of operational indices mapped to records selected through user choices.</w:t>
      </w:r>
    </w:p>
    <w:p>
      <w:pPr>
        <w:pStyle w:val="ListBullet"/>
        <w:spacing w:after="80"/>
      </w:pPr>
      <w:r>
        <w:rPr>
          <w:b/>
        </w:rPr>
        <w:t>Query Execution:</w:t>
      </w:r>
      <w:r>
        <w:t xml:space="preserve"> The system pulls these complete document records out of MongoDB memory.</w:t>
      </w:r>
    </w:p>
    <w:p>
      <w:pPr>
        <w:pStyle w:val="ListBullet"/>
        <w:spacing w:after="80"/>
      </w:pPr>
      <w:r>
        <w:rPr>
          <w:b/>
        </w:rPr>
        <w:t>Compound Evaluation Pass:</w:t>
      </w:r>
      <w:r>
        <w:t xml:space="preserve"> The compiler iterates through every individual ingredient dictionary object. It isolates character structures and generates the structural signature K.</w:t>
      </w:r>
    </w:p>
    <w:p>
      <w:pPr>
        <w:pStyle w:val="ListBullet"/>
        <w:spacing w:after="80"/>
      </w:pPr>
      <w:r>
        <w:rPr>
          <w:b/>
        </w:rPr>
        <w:t>Collision Evaluation Rule:</w:t>
      </w:r>
      <w:r>
        <w:t xml:space="preserve"> Execution forks based on key collisions:</w:t>
      </w:r>
    </w:p>
    <w:p>
      <w:pPr>
        <w:pStyle w:val="ListBullet"/>
        <w:spacing w:after="80"/>
      </w:pPr>
      <w:r>
        <w:rPr>
          <w:b/>
        </w:rPr>
        <w:t>• Case A (New Signature Key Discovered):</w:t>
      </w:r>
      <w:r>
        <w:t xml:space="preserve"> The index path does not find a pre-existing key match. The item is recognized as computationally unique (e.g., Eggs or Rice).</w:t>
      </w:r>
    </w:p>
    <w:p>
      <w:pPr>
        <w:pStyle w:val="ListBullet"/>
        <w:spacing w:after="80"/>
      </w:pPr>
      <w:r>
        <w:rPr>
          <w:b/>
        </w:rPr>
        <w:t>• Case B (Signature Identifier Key Collision):</w:t>
      </w:r>
      <w:r>
        <w:t xml:space="preserve"> The tracking key already exists (e.g., Onions). The operational routine interrupts overwrite operations, pulls the quantitative value out of the active index location, executes floating-point addition (Q_total = Q_existing + Q_incoming), and re-saves the total quantity.</w:t>
      </w:r>
    </w:p>
    <w:p>
      <w:pPr>
        <w:pStyle w:val="ListBullet"/>
        <w:spacing w:after="80"/>
      </w:pPr>
      <w:r>
        <w:rPr>
          <w:b/>
        </w:rPr>
        <w:t>Aisle Organization Pass:</w:t>
      </w:r>
      <w:r>
        <w:t xml:space="preserve"> The consolidated map is passed through a grouping routine that transforms the raw collection database fields into clean lists categorized by store aisle variables.</w:t>
      </w:r>
    </w:p>
    <w:p>
      <w:pPr>
        <w:keepNext/>
        <w:spacing w:before="440" w:after="120"/>
      </w:pPr>
      <w:r>
        <w:rPr>
          <w:b/>
          <w:color w:val="1A365D"/>
          <w:sz w:val="28"/>
        </w:rPr>
        <w:t>6. Functional Verification &amp; Expected Output Metrics</w:t>
      </w:r>
    </w:p>
    <w:p>
      <w:pPr>
        <w:spacing w:after="200" w:line="300" w:lineRule="auto"/>
      </w:pPr>
      <w:r>
        <w:t>To accurately verify that unique properties are fully preserved while overlapping strings are mathematically aggregated, the validation protocol executes the following precise integration case setup:</w:t>
      </w:r>
    </w:p>
    <w:p>
      <w:pPr>
        <w:keepNext/>
        <w:spacing w:before="280" w:after="80"/>
      </w:pPr>
      <w:r>
        <w:rPr>
          <w:b/>
          <w:color w:val="2B6CB0"/>
          <w:sz w:val="23"/>
        </w:rPr>
        <w:t>Verification Test Payload Blueprint Configuration:</w:t>
      </w:r>
    </w:p>
    <w:p>
      <w:pPr>
        <w:pStyle w:val="ListBullet"/>
        <w:spacing w:after="80"/>
      </w:pPr>
      <w:r>
        <w:rPr>
          <w:b/>
        </w:rPr>
        <w:t>Recipe Document A ("Omelet"):</w:t>
      </w:r>
      <w:r>
        <w:t xml:space="preserve"> Eggs | 3.00 | pieces | Dairy (Unique)   &amp;   Onions | 0.50 | cups | Produce (Overlapping)</w:t>
      </w:r>
    </w:p>
    <w:p>
      <w:pPr>
        <w:pStyle w:val="ListBullet"/>
        <w:spacing w:after="80"/>
      </w:pPr>
      <w:r>
        <w:rPr>
          <w:b/>
        </w:rPr>
        <w:t>Recipe Document B ("Fried Rice"):</w:t>
      </w:r>
      <w:r>
        <w:t xml:space="preserve"> Rice | 2.00 | cups | Pantry (Unique)   &amp;   Onions | 0.50 | cups | Produce (Overlapping)</w:t>
      </w:r>
    </w:p>
    <w:p>
      <w:pPr>
        <w:keepNext/>
        <w:spacing w:before="280" w:after="80"/>
      </w:pPr>
      <w:r>
        <w:rPr>
          <w:b/>
          <w:color w:val="2B6CB0"/>
          <w:sz w:val="23"/>
        </w:rPr>
        <w:t>System Verified Console Output Rendering:</w:t>
      </w:r>
    </w:p>
    <w:tbl>
      <w:tblPr>
        <w:tblW w:type="auto" w:w="0"/>
        <w:jc w:val="center"/>
        <w:tblLayout w:type="fixed"/>
        <w:tblLook w:firstColumn="1" w:firstRow="1" w:lastColumn="0" w:lastRow="0" w:noHBand="0" w:noVBand="1" w:val="04A0"/>
      </w:tblPr>
      <w:tblGrid>
        <w:gridCol w:w="9936"/>
      </w:tblGrid>
      <w:tr>
        <w:tc>
          <w:tcPr>
            <w:tcW w:type="dxa" w:w="9936"/>
            <w:shd w:fill="F7FAFC"/>
            <w:tcMar>
              <w:top w:w="140" w:type="dxa"/>
              <w:bottom w:w="140" w:type="dxa"/>
              <w:left w:w="180" w:type="dxa"/>
              <w:right w:w="180" w:type="dxa"/>
            </w:tcMar>
            <w:tcBorders>
              <w:left w:val="single" w:sz="12" w:space="0" w:color="2B6CB0"/>
              <w:top w:val="none"/>
              <w:bottom w:val="none"/>
              <w:right w:val="none"/>
            </w:tcBorders>
          </w:tcPr>
          <w:p>
            <w:pPr>
              <w:spacing w:after="0"/>
            </w:pPr>
            <w:r>
              <w:rPr>
                <w:rFonts w:ascii="Consolas" w:hAnsi="Consolas"/>
                <w:color w:val="2D3748"/>
                <w:sz w:val="18"/>
              </w:rPr>
              <w:t>==========================================</w:t>
              <w:br/>
              <w:t xml:space="preserve">        CONSOLIDATED SHOPPING LIST        </w:t>
              <w:br/>
              <w:t>==========================================</w:t>
              <w:br/>
              <w:br/>
              <w:t>📦 [ Aisle Category: DAIRY ]</w:t>
              <w:br/>
              <w:t xml:space="preserve">  • Eggs                   : 3.00 pieces</w:t>
              <w:br/>
              <w:br/>
              <w:t>📦 [ Aisle Category: PRODUCE ]</w:t>
              <w:br/>
              <w:t xml:space="preserve">  • Onions                 : 1.00 cups   &lt;-- Aggregation Match Verified (0.50 + 0.50)</w:t>
              <w:br/>
              <w:br/>
              <w:t>📦 [ Aisle Category: PANTRY ]</w:t>
              <w:br/>
              <w:t xml:space="preserve">  • Rice                   : 2.00 cups</w:t>
              <w:br/>
              <w:br/>
              <w:t>==========================================</w:t>
            </w:r>
          </w:p>
        </w:tc>
      </w:tr>
    </w:tbl>
    <w:p>
      <w:pPr>
        <w:spacing w:before="120"/>
      </w:pPr>
    </w:p>
    <w:p>
      <w:pPr>
        <w:keepNext/>
        <w:spacing w:before="440" w:after="120"/>
      </w:pPr>
      <w:r>
        <w:rPr>
          <w:b/>
          <w:color w:val="1A365D"/>
          <w:sz w:val="28"/>
        </w:rPr>
        <w:t>7. Project Conclusion</w:t>
      </w:r>
    </w:p>
    <w:p>
      <w:pPr>
        <w:spacing w:after="200" w:line="300" w:lineRule="auto"/>
      </w:pPr>
      <w:r>
        <w:t>The implementation parameters of this project successfully demonstrate how a console-driven architecture paired with a schema-less NoSQL storage engine can simplify real-world data deduplication tasks. By managing string parsing and quantitative aggregation within highly decoupled Python backend services, data remains isolated from user interface constraints. This design establishes a secure, production-ready backend layout that can be migrated immediately into a Spring Boot REST API, microservices network, or modern single-page web environment.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