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4F563" w14:textId="77777777" w:rsidR="00B67D7D" w:rsidRDefault="00000000">
      <w:pPr>
        <w:spacing w:after="60"/>
        <w:jc w:val="center"/>
      </w:pPr>
      <w:r>
        <w:rPr>
          <w:b/>
          <w:bCs/>
          <w:color w:val="1F3864"/>
          <w:sz w:val="40"/>
          <w:szCs w:val="40"/>
        </w:rPr>
        <w:t>QA Defect Analysis Assignment</w:t>
      </w:r>
    </w:p>
    <w:p w14:paraId="16C6C556" w14:textId="77777777" w:rsidR="00B67D7D" w:rsidRDefault="00000000">
      <w:pPr>
        <w:spacing w:after="40"/>
        <w:jc w:val="center"/>
      </w:pPr>
      <w:r>
        <w:rPr>
          <w:i/>
          <w:iCs/>
          <w:color w:val="2E74B5"/>
          <w:sz w:val="24"/>
          <w:szCs w:val="24"/>
        </w:rPr>
        <w:t>Login / Sign-Up Testing — Paytm App</w:t>
      </w:r>
    </w:p>
    <w:p w14:paraId="628D3D12" w14:textId="0F4D0AA0" w:rsidR="00B67D7D" w:rsidRDefault="00000000">
      <w:pPr>
        <w:spacing w:after="300"/>
        <w:jc w:val="center"/>
      </w:pPr>
      <w:r>
        <w:rPr>
          <w:color w:val="595959"/>
          <w:sz w:val="18"/>
          <w:szCs w:val="18"/>
        </w:rPr>
        <w:t xml:space="preserve">Prepared by: </w:t>
      </w:r>
      <w:r w:rsidR="004E15C0">
        <w:rPr>
          <w:color w:val="595959"/>
          <w:sz w:val="18"/>
          <w:szCs w:val="18"/>
        </w:rPr>
        <w:t>Dhaval Trivedi</w:t>
      </w:r>
      <w:r>
        <w:rPr>
          <w:color w:val="595959"/>
          <w:sz w:val="18"/>
          <w:szCs w:val="18"/>
        </w:rPr>
        <w:t xml:space="preserve">  |  Role: Manual / Functional Testing  |  Date: 17 August 2026</w:t>
      </w:r>
    </w:p>
    <w:p w14:paraId="5F6CCAA8" w14:textId="77777777" w:rsidR="00B67D7D" w:rsidRDefault="00000000">
      <w:pPr>
        <w:pStyle w:val="Heading1"/>
        <w:pBdr>
          <w:bottom w:val="single" w:sz="6" w:space="4" w:color="2E74B5"/>
        </w:pBdr>
        <w:spacing w:before="380" w:after="160"/>
      </w:pPr>
      <w:r>
        <w:rPr>
          <w:b/>
          <w:bCs/>
          <w:color w:val="1F3864"/>
        </w:rPr>
        <w:t>Q1.  Five Defects Identified – Paytm Login / Sign-Up Flow</w:t>
      </w:r>
    </w:p>
    <w:p w14:paraId="6BA7772E" w14:textId="77777777" w:rsidR="00B67D7D" w:rsidRDefault="00000000">
      <w:pPr>
        <w:spacing w:after="160" w:line="300" w:lineRule="auto"/>
      </w:pPr>
      <w:r>
        <w:rPr>
          <w:b/>
          <w:bCs/>
          <w:sz w:val="22"/>
          <w:szCs w:val="22"/>
        </w:rPr>
        <w:t xml:space="preserve">App tested: </w:t>
      </w:r>
      <w:r>
        <w:rPr>
          <w:sz w:val="22"/>
          <w:szCs w:val="22"/>
        </w:rPr>
        <w:t>Paytm (Android), on the Login and Sign-Up screens. Each item below is written as a self-contained defect statement — what the screen does, versus what it should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5826"/>
      </w:tblGrid>
      <w:tr w:rsidR="00B67D7D" w14:paraId="32D9BF20" w14:textId="77777777">
        <w:tblPrEx>
          <w:tblCellMar>
            <w:top w:w="0" w:type="dxa"/>
            <w:bottom w:w="0" w:type="dxa"/>
          </w:tblCellMar>
        </w:tblPrEx>
        <w:trPr>
          <w:cantSplit/>
          <w:tblHeader/>
        </w:trPr>
        <w:tc>
          <w:tcPr>
            <w:tcW w:w="900" w:type="dxa"/>
            <w:shd w:val="clear" w:color="auto" w:fill="1F3864"/>
            <w:tcMar>
              <w:top w:w="100" w:type="dxa"/>
              <w:left w:w="120" w:type="dxa"/>
              <w:bottom w:w="100" w:type="dxa"/>
              <w:right w:w="120" w:type="dxa"/>
            </w:tcMar>
            <w:vAlign w:val="center"/>
          </w:tcPr>
          <w:p w14:paraId="12940BFC" w14:textId="77777777" w:rsidR="00B67D7D" w:rsidRDefault="00000000">
            <w:pPr>
              <w:jc w:val="center"/>
            </w:pPr>
            <w:r>
              <w:rPr>
                <w:b/>
                <w:bCs/>
                <w:color w:val="FFFFFF"/>
              </w:rPr>
              <w:t>ID</w:t>
            </w:r>
          </w:p>
        </w:tc>
        <w:tc>
          <w:tcPr>
            <w:tcW w:w="2300" w:type="dxa"/>
            <w:shd w:val="clear" w:color="auto" w:fill="1F3864"/>
            <w:tcMar>
              <w:top w:w="100" w:type="dxa"/>
              <w:left w:w="120" w:type="dxa"/>
              <w:bottom w:w="100" w:type="dxa"/>
              <w:right w:w="120" w:type="dxa"/>
            </w:tcMar>
            <w:vAlign w:val="center"/>
          </w:tcPr>
          <w:p w14:paraId="549C8828" w14:textId="77777777" w:rsidR="00B67D7D" w:rsidRDefault="00000000">
            <w:r>
              <w:rPr>
                <w:b/>
                <w:bCs/>
                <w:color w:val="FFFFFF"/>
              </w:rPr>
              <w:t>Screen / Module</w:t>
            </w:r>
          </w:p>
        </w:tc>
        <w:tc>
          <w:tcPr>
            <w:tcW w:w="5826" w:type="dxa"/>
            <w:shd w:val="clear" w:color="auto" w:fill="1F3864"/>
            <w:tcMar>
              <w:top w:w="100" w:type="dxa"/>
              <w:left w:w="120" w:type="dxa"/>
              <w:bottom w:w="100" w:type="dxa"/>
              <w:right w:w="120" w:type="dxa"/>
            </w:tcMar>
            <w:vAlign w:val="center"/>
          </w:tcPr>
          <w:p w14:paraId="1420368F" w14:textId="77777777" w:rsidR="00B67D7D" w:rsidRDefault="00000000">
            <w:r>
              <w:rPr>
                <w:b/>
                <w:bCs/>
                <w:color w:val="FFFFFF"/>
              </w:rPr>
              <w:t>Defect Statement</w:t>
            </w:r>
          </w:p>
        </w:tc>
      </w:tr>
      <w:tr w:rsidR="00B67D7D" w14:paraId="01BB1437" w14:textId="77777777">
        <w:tblPrEx>
          <w:tblCellMar>
            <w:top w:w="0" w:type="dxa"/>
            <w:bottom w:w="0" w:type="dxa"/>
          </w:tblCellMar>
        </w:tblPrEx>
        <w:trPr>
          <w:cantSplit/>
        </w:trPr>
        <w:tc>
          <w:tcPr>
            <w:tcW w:w="900" w:type="dxa"/>
            <w:shd w:val="clear" w:color="auto" w:fill="FFFFFF"/>
            <w:tcMar>
              <w:top w:w="100" w:type="dxa"/>
              <w:left w:w="120" w:type="dxa"/>
              <w:bottom w:w="100" w:type="dxa"/>
              <w:right w:w="120" w:type="dxa"/>
            </w:tcMar>
            <w:vAlign w:val="center"/>
          </w:tcPr>
          <w:p w14:paraId="66860AC9" w14:textId="77777777" w:rsidR="00B67D7D" w:rsidRDefault="00000000">
            <w:pPr>
              <w:jc w:val="center"/>
            </w:pPr>
            <w:r>
              <w:rPr>
                <w:b/>
                <w:bCs/>
              </w:rPr>
              <w:t>DEF-01</w:t>
            </w:r>
          </w:p>
        </w:tc>
        <w:tc>
          <w:tcPr>
            <w:tcW w:w="2300" w:type="dxa"/>
            <w:shd w:val="clear" w:color="auto" w:fill="FFFFFF"/>
            <w:tcMar>
              <w:top w:w="100" w:type="dxa"/>
              <w:left w:w="120" w:type="dxa"/>
              <w:bottom w:w="100" w:type="dxa"/>
              <w:right w:w="120" w:type="dxa"/>
            </w:tcMar>
            <w:vAlign w:val="center"/>
          </w:tcPr>
          <w:p w14:paraId="3F58AAE5" w14:textId="77777777" w:rsidR="00B67D7D" w:rsidRDefault="00000000">
            <w:r>
              <w:t>Login – Mobile Number entry</w:t>
            </w:r>
          </w:p>
        </w:tc>
        <w:tc>
          <w:tcPr>
            <w:tcW w:w="5826" w:type="dxa"/>
            <w:shd w:val="clear" w:color="auto" w:fill="FFFFFF"/>
            <w:tcMar>
              <w:top w:w="100" w:type="dxa"/>
              <w:left w:w="120" w:type="dxa"/>
              <w:bottom w:w="100" w:type="dxa"/>
              <w:right w:w="120" w:type="dxa"/>
            </w:tcMar>
            <w:vAlign w:val="center"/>
          </w:tcPr>
          <w:p w14:paraId="47A0DFEB" w14:textId="77777777" w:rsidR="00B67D7D" w:rsidRDefault="00000000">
            <w:r>
              <w:t>The Mobile Number field on the Login screen accepts non-numeric characters and more than 10 digits, and does not display an inline validation error before the user taps “Send OTP”.</w:t>
            </w:r>
          </w:p>
        </w:tc>
      </w:tr>
      <w:tr w:rsidR="00B67D7D" w14:paraId="0463C79D" w14:textId="77777777">
        <w:tblPrEx>
          <w:tblCellMar>
            <w:top w:w="0" w:type="dxa"/>
            <w:bottom w:w="0" w:type="dxa"/>
          </w:tblCellMar>
        </w:tblPrEx>
        <w:trPr>
          <w:cantSplit/>
        </w:trPr>
        <w:tc>
          <w:tcPr>
            <w:tcW w:w="900" w:type="dxa"/>
            <w:shd w:val="clear" w:color="auto" w:fill="F2F2F2"/>
            <w:tcMar>
              <w:top w:w="100" w:type="dxa"/>
              <w:left w:w="120" w:type="dxa"/>
              <w:bottom w:w="100" w:type="dxa"/>
              <w:right w:w="120" w:type="dxa"/>
            </w:tcMar>
            <w:vAlign w:val="center"/>
          </w:tcPr>
          <w:p w14:paraId="01032D4B" w14:textId="77777777" w:rsidR="00B67D7D" w:rsidRDefault="00000000">
            <w:pPr>
              <w:jc w:val="center"/>
            </w:pPr>
            <w:r>
              <w:rPr>
                <w:b/>
                <w:bCs/>
              </w:rPr>
              <w:t>DEF-02</w:t>
            </w:r>
          </w:p>
        </w:tc>
        <w:tc>
          <w:tcPr>
            <w:tcW w:w="2300" w:type="dxa"/>
            <w:shd w:val="clear" w:color="auto" w:fill="F2F2F2"/>
            <w:tcMar>
              <w:top w:w="100" w:type="dxa"/>
              <w:left w:w="120" w:type="dxa"/>
              <w:bottom w:w="100" w:type="dxa"/>
              <w:right w:w="120" w:type="dxa"/>
            </w:tcMar>
            <w:vAlign w:val="center"/>
          </w:tcPr>
          <w:p w14:paraId="71ED4946" w14:textId="77777777" w:rsidR="00B67D7D" w:rsidRDefault="00000000">
            <w:r>
              <w:t>OTP Verification (Login / Sign-Up)</w:t>
            </w:r>
          </w:p>
        </w:tc>
        <w:tc>
          <w:tcPr>
            <w:tcW w:w="5826" w:type="dxa"/>
            <w:shd w:val="clear" w:color="auto" w:fill="F2F2F2"/>
            <w:tcMar>
              <w:top w:w="100" w:type="dxa"/>
              <w:left w:w="120" w:type="dxa"/>
              <w:bottom w:w="100" w:type="dxa"/>
              <w:right w:w="120" w:type="dxa"/>
            </w:tcMar>
            <w:vAlign w:val="center"/>
          </w:tcPr>
          <w:p w14:paraId="3720E7A7" w14:textId="77777777" w:rsidR="00B67D7D" w:rsidRDefault="00000000">
            <w:r>
              <w:t>The “Resend OTP” button remains enabled throughout the 30-second countdown timer, allowing the user to trigger multiple OTP requests before the original OTP expires.</w:t>
            </w:r>
          </w:p>
        </w:tc>
      </w:tr>
      <w:tr w:rsidR="00B67D7D" w14:paraId="654319B8" w14:textId="77777777">
        <w:tblPrEx>
          <w:tblCellMar>
            <w:top w:w="0" w:type="dxa"/>
            <w:bottom w:w="0" w:type="dxa"/>
          </w:tblCellMar>
        </w:tblPrEx>
        <w:trPr>
          <w:cantSplit/>
        </w:trPr>
        <w:tc>
          <w:tcPr>
            <w:tcW w:w="900" w:type="dxa"/>
            <w:shd w:val="clear" w:color="auto" w:fill="FFFFFF"/>
            <w:tcMar>
              <w:top w:w="100" w:type="dxa"/>
              <w:left w:w="120" w:type="dxa"/>
              <w:bottom w:w="100" w:type="dxa"/>
              <w:right w:w="120" w:type="dxa"/>
            </w:tcMar>
            <w:vAlign w:val="center"/>
          </w:tcPr>
          <w:p w14:paraId="02ED92A1" w14:textId="77777777" w:rsidR="00B67D7D" w:rsidRDefault="00000000">
            <w:pPr>
              <w:jc w:val="center"/>
            </w:pPr>
            <w:r>
              <w:rPr>
                <w:b/>
                <w:bCs/>
              </w:rPr>
              <w:t>DEF-03</w:t>
            </w:r>
          </w:p>
        </w:tc>
        <w:tc>
          <w:tcPr>
            <w:tcW w:w="2300" w:type="dxa"/>
            <w:shd w:val="clear" w:color="auto" w:fill="FFFFFF"/>
            <w:tcMar>
              <w:top w:w="100" w:type="dxa"/>
              <w:left w:w="120" w:type="dxa"/>
              <w:bottom w:w="100" w:type="dxa"/>
              <w:right w:w="120" w:type="dxa"/>
            </w:tcMar>
            <w:vAlign w:val="center"/>
          </w:tcPr>
          <w:p w14:paraId="6F1ECDA1" w14:textId="77777777" w:rsidR="00B67D7D" w:rsidRDefault="00000000">
            <w:r>
              <w:t>Login – Password / MPIN entry</w:t>
            </w:r>
          </w:p>
        </w:tc>
        <w:tc>
          <w:tcPr>
            <w:tcW w:w="5826" w:type="dxa"/>
            <w:shd w:val="clear" w:color="auto" w:fill="FFFFFF"/>
            <w:tcMar>
              <w:top w:w="100" w:type="dxa"/>
              <w:left w:w="120" w:type="dxa"/>
              <w:bottom w:w="100" w:type="dxa"/>
              <w:right w:w="120" w:type="dxa"/>
            </w:tcMar>
            <w:vAlign w:val="center"/>
          </w:tcPr>
          <w:p w14:paraId="0BC37A9A" w14:textId="77777777" w:rsidR="00B67D7D" w:rsidRDefault="00000000">
            <w:r>
              <w:t>The show/hide “eye” icon on the password field does not change its visual state (open vs. closed eye) after being tapped, even though the text masking itself toggles correctly, giving the user inconsistent visual feedback.</w:t>
            </w:r>
          </w:p>
        </w:tc>
      </w:tr>
      <w:tr w:rsidR="00B67D7D" w14:paraId="6959E158" w14:textId="77777777">
        <w:tblPrEx>
          <w:tblCellMar>
            <w:top w:w="0" w:type="dxa"/>
            <w:bottom w:w="0" w:type="dxa"/>
          </w:tblCellMar>
        </w:tblPrEx>
        <w:trPr>
          <w:cantSplit/>
        </w:trPr>
        <w:tc>
          <w:tcPr>
            <w:tcW w:w="900" w:type="dxa"/>
            <w:shd w:val="clear" w:color="auto" w:fill="F2F2F2"/>
            <w:tcMar>
              <w:top w:w="100" w:type="dxa"/>
              <w:left w:w="120" w:type="dxa"/>
              <w:bottom w:w="100" w:type="dxa"/>
              <w:right w:w="120" w:type="dxa"/>
            </w:tcMar>
            <w:vAlign w:val="center"/>
          </w:tcPr>
          <w:p w14:paraId="5A3E9563" w14:textId="77777777" w:rsidR="00B67D7D" w:rsidRDefault="00000000">
            <w:pPr>
              <w:jc w:val="center"/>
            </w:pPr>
            <w:r>
              <w:rPr>
                <w:b/>
                <w:bCs/>
              </w:rPr>
              <w:t>DEF-04</w:t>
            </w:r>
          </w:p>
        </w:tc>
        <w:tc>
          <w:tcPr>
            <w:tcW w:w="2300" w:type="dxa"/>
            <w:shd w:val="clear" w:color="auto" w:fill="F2F2F2"/>
            <w:tcMar>
              <w:top w:w="100" w:type="dxa"/>
              <w:left w:w="120" w:type="dxa"/>
              <w:bottom w:w="100" w:type="dxa"/>
              <w:right w:w="120" w:type="dxa"/>
            </w:tcMar>
            <w:vAlign w:val="center"/>
          </w:tcPr>
          <w:p w14:paraId="2DF5E63C" w14:textId="77777777" w:rsidR="00B67D7D" w:rsidRDefault="00000000">
            <w:r>
              <w:t>Sign-Up – Create Account form</w:t>
            </w:r>
          </w:p>
        </w:tc>
        <w:tc>
          <w:tcPr>
            <w:tcW w:w="5826" w:type="dxa"/>
            <w:shd w:val="clear" w:color="auto" w:fill="F2F2F2"/>
            <w:tcMar>
              <w:top w:w="100" w:type="dxa"/>
              <w:left w:w="120" w:type="dxa"/>
              <w:bottom w:w="100" w:type="dxa"/>
              <w:right w:w="120" w:type="dxa"/>
            </w:tcMar>
            <w:vAlign w:val="center"/>
          </w:tcPr>
          <w:p w14:paraId="4D8E5B85" w14:textId="77777777" w:rsidR="00B67D7D" w:rsidRDefault="00000000">
            <w:r>
              <w:t>When the device is rotated to landscape orientation on certain Android phones, the “Create Account” button is pushed below the visible viewport and cannot be reached even after scrolling, blocking account creation in that orientation.</w:t>
            </w:r>
          </w:p>
        </w:tc>
      </w:tr>
      <w:tr w:rsidR="00B67D7D" w14:paraId="06B0788B" w14:textId="77777777">
        <w:tblPrEx>
          <w:tblCellMar>
            <w:top w:w="0" w:type="dxa"/>
            <w:bottom w:w="0" w:type="dxa"/>
          </w:tblCellMar>
        </w:tblPrEx>
        <w:trPr>
          <w:cantSplit/>
        </w:trPr>
        <w:tc>
          <w:tcPr>
            <w:tcW w:w="900" w:type="dxa"/>
            <w:shd w:val="clear" w:color="auto" w:fill="FFFFFF"/>
            <w:tcMar>
              <w:top w:w="100" w:type="dxa"/>
              <w:left w:w="120" w:type="dxa"/>
              <w:bottom w:w="100" w:type="dxa"/>
              <w:right w:w="120" w:type="dxa"/>
            </w:tcMar>
            <w:vAlign w:val="center"/>
          </w:tcPr>
          <w:p w14:paraId="3826D99E" w14:textId="77777777" w:rsidR="00B67D7D" w:rsidRDefault="00000000">
            <w:pPr>
              <w:jc w:val="center"/>
            </w:pPr>
            <w:r>
              <w:rPr>
                <w:b/>
                <w:bCs/>
              </w:rPr>
              <w:t>DEF-05</w:t>
            </w:r>
          </w:p>
        </w:tc>
        <w:tc>
          <w:tcPr>
            <w:tcW w:w="2300" w:type="dxa"/>
            <w:shd w:val="clear" w:color="auto" w:fill="FFFFFF"/>
            <w:tcMar>
              <w:top w:w="100" w:type="dxa"/>
              <w:left w:w="120" w:type="dxa"/>
              <w:bottom w:w="100" w:type="dxa"/>
              <w:right w:w="120" w:type="dxa"/>
            </w:tcMar>
            <w:vAlign w:val="center"/>
          </w:tcPr>
          <w:p w14:paraId="45774469" w14:textId="77777777" w:rsidR="00B67D7D" w:rsidRDefault="00000000">
            <w:r>
              <w:t>Sign-Up – OTP screen</w:t>
            </w:r>
          </w:p>
        </w:tc>
        <w:tc>
          <w:tcPr>
            <w:tcW w:w="5826" w:type="dxa"/>
            <w:shd w:val="clear" w:color="auto" w:fill="FFFFFF"/>
            <w:tcMar>
              <w:top w:w="100" w:type="dxa"/>
              <w:left w:w="120" w:type="dxa"/>
              <w:bottom w:w="100" w:type="dxa"/>
              <w:right w:w="120" w:type="dxa"/>
            </w:tcMar>
            <w:vAlign w:val="center"/>
          </w:tcPr>
          <w:p w14:paraId="0B884AF6" w14:textId="77777777" w:rsidR="00B67D7D" w:rsidRDefault="00000000">
            <w:r>
              <w:t>Tapping the device Back button on the OTP screen during Sign-Up navigates directly to the app’s Home/Dashboard instead of returning to the Mobile Number screen, silently discarding the in-progress sign-up.</w:t>
            </w:r>
          </w:p>
        </w:tc>
      </w:tr>
    </w:tbl>
    <w:p w14:paraId="3B0D1050" w14:textId="77777777" w:rsidR="00B67D7D" w:rsidRDefault="00000000">
      <w:pPr>
        <w:pStyle w:val="Heading1"/>
        <w:pBdr>
          <w:bottom w:val="single" w:sz="6" w:space="4" w:color="2E74B5"/>
        </w:pBdr>
        <w:spacing w:before="380" w:after="160"/>
      </w:pPr>
      <w:r>
        <w:rPr>
          <w:b/>
          <w:bCs/>
          <w:color w:val="1F3864"/>
        </w:rPr>
        <w:t>Q2.  Severity and Priority Classification</w:t>
      </w:r>
    </w:p>
    <w:p w14:paraId="7F37A028" w14:textId="77777777" w:rsidR="00B67D7D" w:rsidRDefault="00000000">
      <w:pPr>
        <w:spacing w:after="160" w:line="300" w:lineRule="auto"/>
      </w:pPr>
      <w:r>
        <w:rPr>
          <w:b/>
          <w:bCs/>
          <w:sz w:val="22"/>
          <w:szCs w:val="22"/>
        </w:rPr>
        <w:t>Severity</w:t>
      </w:r>
      <w:r>
        <w:rPr>
          <w:sz w:val="22"/>
          <w:szCs w:val="22"/>
        </w:rPr>
        <w:t xml:space="preserve"> measures how badly a defect damages the product or the user experience. </w:t>
      </w:r>
      <w:r>
        <w:rPr>
          <w:b/>
          <w:bCs/>
          <w:sz w:val="22"/>
          <w:szCs w:val="22"/>
        </w:rPr>
        <w:t>Priority</w:t>
      </w:r>
      <w:r>
        <w:rPr>
          <w:sz w:val="22"/>
          <w:szCs w:val="22"/>
        </w:rPr>
        <w:t xml:space="preserve"> measures how urgently it needs to be fixed relative to other work in the queue. The two do not always move together, as shown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7"/>
        <w:gridCol w:w="2723"/>
        <w:gridCol w:w="1100"/>
        <w:gridCol w:w="1100"/>
        <w:gridCol w:w="3396"/>
      </w:tblGrid>
      <w:tr w:rsidR="00B67D7D" w14:paraId="549576E7" w14:textId="77777777">
        <w:tblPrEx>
          <w:tblCellMar>
            <w:top w:w="0" w:type="dxa"/>
            <w:bottom w:w="0" w:type="dxa"/>
          </w:tblCellMar>
        </w:tblPrEx>
        <w:trPr>
          <w:cantSplit/>
          <w:tblHeader/>
        </w:trPr>
        <w:tc>
          <w:tcPr>
            <w:tcW w:w="700" w:type="dxa"/>
            <w:shd w:val="clear" w:color="auto" w:fill="1F3864"/>
            <w:tcMar>
              <w:top w:w="100" w:type="dxa"/>
              <w:left w:w="120" w:type="dxa"/>
              <w:bottom w:w="100" w:type="dxa"/>
              <w:right w:w="120" w:type="dxa"/>
            </w:tcMar>
            <w:vAlign w:val="center"/>
          </w:tcPr>
          <w:p w14:paraId="1408093B" w14:textId="77777777" w:rsidR="00B67D7D" w:rsidRDefault="00000000">
            <w:pPr>
              <w:jc w:val="center"/>
            </w:pPr>
            <w:r>
              <w:rPr>
                <w:b/>
                <w:bCs/>
                <w:color w:val="FFFFFF"/>
              </w:rPr>
              <w:t>ID</w:t>
            </w:r>
          </w:p>
        </w:tc>
        <w:tc>
          <w:tcPr>
            <w:tcW w:w="2726" w:type="dxa"/>
            <w:shd w:val="clear" w:color="auto" w:fill="1F3864"/>
            <w:tcMar>
              <w:top w:w="100" w:type="dxa"/>
              <w:left w:w="120" w:type="dxa"/>
              <w:bottom w:w="100" w:type="dxa"/>
              <w:right w:w="120" w:type="dxa"/>
            </w:tcMar>
            <w:vAlign w:val="center"/>
          </w:tcPr>
          <w:p w14:paraId="1356E917" w14:textId="77777777" w:rsidR="00B67D7D" w:rsidRDefault="00000000">
            <w:r>
              <w:rPr>
                <w:b/>
                <w:bCs/>
                <w:color w:val="FFFFFF"/>
              </w:rPr>
              <w:t>Defect (short)</w:t>
            </w:r>
          </w:p>
        </w:tc>
        <w:tc>
          <w:tcPr>
            <w:tcW w:w="1100" w:type="dxa"/>
            <w:shd w:val="clear" w:color="auto" w:fill="1F3864"/>
            <w:tcMar>
              <w:top w:w="100" w:type="dxa"/>
              <w:left w:w="120" w:type="dxa"/>
              <w:bottom w:w="100" w:type="dxa"/>
              <w:right w:w="120" w:type="dxa"/>
            </w:tcMar>
            <w:vAlign w:val="center"/>
          </w:tcPr>
          <w:p w14:paraId="0838C3DE" w14:textId="77777777" w:rsidR="00B67D7D" w:rsidRDefault="00000000">
            <w:pPr>
              <w:jc w:val="center"/>
            </w:pPr>
            <w:r>
              <w:rPr>
                <w:b/>
                <w:bCs/>
                <w:color w:val="FFFFFF"/>
              </w:rPr>
              <w:t>Severity</w:t>
            </w:r>
          </w:p>
        </w:tc>
        <w:tc>
          <w:tcPr>
            <w:tcW w:w="1100" w:type="dxa"/>
            <w:shd w:val="clear" w:color="auto" w:fill="1F3864"/>
            <w:tcMar>
              <w:top w:w="100" w:type="dxa"/>
              <w:left w:w="120" w:type="dxa"/>
              <w:bottom w:w="100" w:type="dxa"/>
              <w:right w:w="120" w:type="dxa"/>
            </w:tcMar>
            <w:vAlign w:val="center"/>
          </w:tcPr>
          <w:p w14:paraId="04BECB15" w14:textId="77777777" w:rsidR="00B67D7D" w:rsidRDefault="00000000">
            <w:pPr>
              <w:jc w:val="center"/>
            </w:pPr>
            <w:r>
              <w:rPr>
                <w:b/>
                <w:bCs/>
                <w:color w:val="FFFFFF"/>
              </w:rPr>
              <w:t>Priority</w:t>
            </w:r>
          </w:p>
        </w:tc>
        <w:tc>
          <w:tcPr>
            <w:tcW w:w="3400" w:type="dxa"/>
            <w:shd w:val="clear" w:color="auto" w:fill="1F3864"/>
            <w:tcMar>
              <w:top w:w="100" w:type="dxa"/>
              <w:left w:w="120" w:type="dxa"/>
              <w:bottom w:w="100" w:type="dxa"/>
              <w:right w:w="120" w:type="dxa"/>
            </w:tcMar>
            <w:vAlign w:val="center"/>
          </w:tcPr>
          <w:p w14:paraId="26819748" w14:textId="77777777" w:rsidR="00B67D7D" w:rsidRDefault="00000000">
            <w:r>
              <w:rPr>
                <w:b/>
                <w:bCs/>
                <w:color w:val="FFFFFF"/>
              </w:rPr>
              <w:t>Justification</w:t>
            </w:r>
          </w:p>
        </w:tc>
      </w:tr>
      <w:tr w:rsidR="00B67D7D" w14:paraId="27558E78" w14:textId="77777777">
        <w:tblPrEx>
          <w:tblCellMar>
            <w:top w:w="0" w:type="dxa"/>
            <w:bottom w:w="0" w:type="dxa"/>
          </w:tblCellMar>
        </w:tblPrEx>
        <w:trPr>
          <w:cantSplit/>
        </w:trPr>
        <w:tc>
          <w:tcPr>
            <w:tcW w:w="700" w:type="dxa"/>
            <w:shd w:val="clear" w:color="auto" w:fill="FFFFFF"/>
            <w:tcMar>
              <w:top w:w="100" w:type="dxa"/>
              <w:left w:w="120" w:type="dxa"/>
              <w:bottom w:w="100" w:type="dxa"/>
              <w:right w:w="120" w:type="dxa"/>
            </w:tcMar>
            <w:vAlign w:val="center"/>
          </w:tcPr>
          <w:p w14:paraId="04FF5C48" w14:textId="77777777" w:rsidR="00B67D7D" w:rsidRDefault="00000000">
            <w:pPr>
              <w:jc w:val="center"/>
            </w:pPr>
            <w:r>
              <w:rPr>
                <w:b/>
                <w:bCs/>
              </w:rPr>
              <w:t>DEF-01</w:t>
            </w:r>
          </w:p>
        </w:tc>
        <w:tc>
          <w:tcPr>
            <w:tcW w:w="2726" w:type="dxa"/>
            <w:shd w:val="clear" w:color="auto" w:fill="FFFFFF"/>
            <w:tcMar>
              <w:top w:w="100" w:type="dxa"/>
              <w:left w:w="120" w:type="dxa"/>
              <w:bottom w:w="100" w:type="dxa"/>
              <w:right w:w="120" w:type="dxa"/>
            </w:tcMar>
            <w:vAlign w:val="center"/>
          </w:tcPr>
          <w:p w14:paraId="5383D9E5" w14:textId="77777777" w:rsidR="00B67D7D" w:rsidRDefault="00000000">
            <w:r>
              <w:t>10-digit / numeric limit not enforced on mobile number</w:t>
            </w:r>
          </w:p>
        </w:tc>
        <w:tc>
          <w:tcPr>
            <w:tcW w:w="1100" w:type="dxa"/>
            <w:shd w:val="clear" w:color="auto" w:fill="FFFFFF"/>
            <w:tcMar>
              <w:top w:w="100" w:type="dxa"/>
              <w:left w:w="120" w:type="dxa"/>
              <w:bottom w:w="100" w:type="dxa"/>
              <w:right w:w="120" w:type="dxa"/>
            </w:tcMar>
            <w:vAlign w:val="center"/>
          </w:tcPr>
          <w:p w14:paraId="044B18B0" w14:textId="77777777" w:rsidR="00B67D7D" w:rsidRDefault="00000000">
            <w:pPr>
              <w:jc w:val="center"/>
            </w:pPr>
            <w:r>
              <w:rPr>
                <w:b/>
                <w:bCs/>
              </w:rPr>
              <w:t>Major</w:t>
            </w:r>
          </w:p>
        </w:tc>
        <w:tc>
          <w:tcPr>
            <w:tcW w:w="1100" w:type="dxa"/>
            <w:shd w:val="clear" w:color="auto" w:fill="FFFFFF"/>
            <w:tcMar>
              <w:top w:w="100" w:type="dxa"/>
              <w:left w:w="120" w:type="dxa"/>
              <w:bottom w:w="100" w:type="dxa"/>
              <w:right w:w="120" w:type="dxa"/>
            </w:tcMar>
            <w:vAlign w:val="center"/>
          </w:tcPr>
          <w:p w14:paraId="4FFEBA07" w14:textId="77777777" w:rsidR="00B67D7D" w:rsidRDefault="00000000">
            <w:pPr>
              <w:jc w:val="center"/>
            </w:pPr>
            <w:r>
              <w:rPr>
                <w:b/>
                <w:bCs/>
              </w:rPr>
              <w:t>High</w:t>
            </w:r>
          </w:p>
        </w:tc>
        <w:tc>
          <w:tcPr>
            <w:tcW w:w="3400" w:type="dxa"/>
            <w:shd w:val="clear" w:color="auto" w:fill="FFFFFF"/>
            <w:tcMar>
              <w:top w:w="100" w:type="dxa"/>
              <w:left w:w="120" w:type="dxa"/>
              <w:bottom w:w="100" w:type="dxa"/>
              <w:right w:w="120" w:type="dxa"/>
            </w:tcMar>
            <w:vAlign w:val="center"/>
          </w:tcPr>
          <w:p w14:paraId="7A33912E" w14:textId="77777777" w:rsidR="00B67D7D" w:rsidRDefault="00000000">
            <w:r>
              <w:t>Bad input reaches the OTP-request API; wrong OTPs are requested and users get stuck at the very first step of the funnel.</w:t>
            </w:r>
          </w:p>
        </w:tc>
      </w:tr>
      <w:tr w:rsidR="00B67D7D" w14:paraId="7AFA23E5" w14:textId="77777777">
        <w:tblPrEx>
          <w:tblCellMar>
            <w:top w:w="0" w:type="dxa"/>
            <w:bottom w:w="0" w:type="dxa"/>
          </w:tblCellMar>
        </w:tblPrEx>
        <w:trPr>
          <w:cantSplit/>
        </w:trPr>
        <w:tc>
          <w:tcPr>
            <w:tcW w:w="700" w:type="dxa"/>
            <w:shd w:val="clear" w:color="auto" w:fill="F2F2F2"/>
            <w:tcMar>
              <w:top w:w="100" w:type="dxa"/>
              <w:left w:w="120" w:type="dxa"/>
              <w:bottom w:w="100" w:type="dxa"/>
              <w:right w:w="120" w:type="dxa"/>
            </w:tcMar>
            <w:vAlign w:val="center"/>
          </w:tcPr>
          <w:p w14:paraId="184755B5" w14:textId="77777777" w:rsidR="00B67D7D" w:rsidRDefault="00000000">
            <w:pPr>
              <w:jc w:val="center"/>
            </w:pPr>
            <w:r>
              <w:rPr>
                <w:b/>
                <w:bCs/>
              </w:rPr>
              <w:t>DEF-02</w:t>
            </w:r>
          </w:p>
        </w:tc>
        <w:tc>
          <w:tcPr>
            <w:tcW w:w="2726" w:type="dxa"/>
            <w:shd w:val="clear" w:color="auto" w:fill="F2F2F2"/>
            <w:tcMar>
              <w:top w:w="100" w:type="dxa"/>
              <w:left w:w="120" w:type="dxa"/>
              <w:bottom w:w="100" w:type="dxa"/>
              <w:right w:w="120" w:type="dxa"/>
            </w:tcMar>
            <w:vAlign w:val="center"/>
          </w:tcPr>
          <w:p w14:paraId="03AFB881" w14:textId="77777777" w:rsidR="00B67D7D" w:rsidRDefault="00000000">
            <w:r>
              <w:t>“Resend OTP” active during countdown timer</w:t>
            </w:r>
          </w:p>
        </w:tc>
        <w:tc>
          <w:tcPr>
            <w:tcW w:w="1100" w:type="dxa"/>
            <w:shd w:val="clear" w:color="auto" w:fill="F2F2F2"/>
            <w:tcMar>
              <w:top w:w="100" w:type="dxa"/>
              <w:left w:w="120" w:type="dxa"/>
              <w:bottom w:w="100" w:type="dxa"/>
              <w:right w:w="120" w:type="dxa"/>
            </w:tcMar>
            <w:vAlign w:val="center"/>
          </w:tcPr>
          <w:p w14:paraId="0745E5BD" w14:textId="77777777" w:rsidR="00B67D7D" w:rsidRDefault="00000000">
            <w:pPr>
              <w:jc w:val="center"/>
            </w:pPr>
            <w:r>
              <w:rPr>
                <w:b/>
                <w:bCs/>
              </w:rPr>
              <w:t>Major</w:t>
            </w:r>
          </w:p>
        </w:tc>
        <w:tc>
          <w:tcPr>
            <w:tcW w:w="1100" w:type="dxa"/>
            <w:shd w:val="clear" w:color="auto" w:fill="F2F2F2"/>
            <w:tcMar>
              <w:top w:w="100" w:type="dxa"/>
              <w:left w:w="120" w:type="dxa"/>
              <w:bottom w:w="100" w:type="dxa"/>
              <w:right w:w="120" w:type="dxa"/>
            </w:tcMar>
            <w:vAlign w:val="center"/>
          </w:tcPr>
          <w:p w14:paraId="1F8B31F8" w14:textId="77777777" w:rsidR="00B67D7D" w:rsidRDefault="00000000">
            <w:pPr>
              <w:jc w:val="center"/>
            </w:pPr>
            <w:r>
              <w:rPr>
                <w:b/>
                <w:bCs/>
              </w:rPr>
              <w:t>High</w:t>
            </w:r>
          </w:p>
        </w:tc>
        <w:tc>
          <w:tcPr>
            <w:tcW w:w="3400" w:type="dxa"/>
            <w:shd w:val="clear" w:color="auto" w:fill="F2F2F2"/>
            <w:tcMar>
              <w:top w:w="100" w:type="dxa"/>
              <w:left w:w="120" w:type="dxa"/>
              <w:bottom w:w="100" w:type="dxa"/>
              <w:right w:w="120" w:type="dxa"/>
            </w:tcMar>
            <w:vAlign w:val="center"/>
          </w:tcPr>
          <w:p w14:paraId="3A08B450" w14:textId="77777777" w:rsidR="00B67D7D" w:rsidRDefault="00000000">
            <w:r>
              <w:t>Enables OTP-request abuse, drives up SMS gateway cost, and risks tripping rate-limits for genuine users — needs a quick fix.</w:t>
            </w:r>
          </w:p>
        </w:tc>
      </w:tr>
      <w:tr w:rsidR="00B67D7D" w14:paraId="18DFE0C2" w14:textId="77777777">
        <w:tblPrEx>
          <w:tblCellMar>
            <w:top w:w="0" w:type="dxa"/>
            <w:bottom w:w="0" w:type="dxa"/>
          </w:tblCellMar>
        </w:tblPrEx>
        <w:trPr>
          <w:cantSplit/>
        </w:trPr>
        <w:tc>
          <w:tcPr>
            <w:tcW w:w="700" w:type="dxa"/>
            <w:shd w:val="clear" w:color="auto" w:fill="FFFFFF"/>
            <w:tcMar>
              <w:top w:w="100" w:type="dxa"/>
              <w:left w:w="120" w:type="dxa"/>
              <w:bottom w:w="100" w:type="dxa"/>
              <w:right w:w="120" w:type="dxa"/>
            </w:tcMar>
            <w:vAlign w:val="center"/>
          </w:tcPr>
          <w:p w14:paraId="6940094A" w14:textId="77777777" w:rsidR="00B67D7D" w:rsidRDefault="00000000">
            <w:pPr>
              <w:jc w:val="center"/>
            </w:pPr>
            <w:r>
              <w:rPr>
                <w:b/>
                <w:bCs/>
              </w:rPr>
              <w:t>DEF-03</w:t>
            </w:r>
          </w:p>
        </w:tc>
        <w:tc>
          <w:tcPr>
            <w:tcW w:w="2726" w:type="dxa"/>
            <w:shd w:val="clear" w:color="auto" w:fill="FFFFFF"/>
            <w:tcMar>
              <w:top w:w="100" w:type="dxa"/>
              <w:left w:w="120" w:type="dxa"/>
              <w:bottom w:w="100" w:type="dxa"/>
              <w:right w:w="120" w:type="dxa"/>
            </w:tcMar>
            <w:vAlign w:val="center"/>
          </w:tcPr>
          <w:p w14:paraId="58B15AE3" w14:textId="77777777" w:rsidR="00B67D7D" w:rsidRDefault="00000000">
            <w:r>
              <w:t>Eye icon does not reflect show/hide state</w:t>
            </w:r>
          </w:p>
        </w:tc>
        <w:tc>
          <w:tcPr>
            <w:tcW w:w="1100" w:type="dxa"/>
            <w:shd w:val="clear" w:color="auto" w:fill="FFFFFF"/>
            <w:tcMar>
              <w:top w:w="100" w:type="dxa"/>
              <w:left w:w="120" w:type="dxa"/>
              <w:bottom w:w="100" w:type="dxa"/>
              <w:right w:w="120" w:type="dxa"/>
            </w:tcMar>
            <w:vAlign w:val="center"/>
          </w:tcPr>
          <w:p w14:paraId="26F88BBC" w14:textId="77777777" w:rsidR="00B67D7D" w:rsidRDefault="00000000">
            <w:pPr>
              <w:jc w:val="center"/>
            </w:pPr>
            <w:r>
              <w:rPr>
                <w:b/>
                <w:bCs/>
              </w:rPr>
              <w:t>Trivial</w:t>
            </w:r>
          </w:p>
        </w:tc>
        <w:tc>
          <w:tcPr>
            <w:tcW w:w="1100" w:type="dxa"/>
            <w:shd w:val="clear" w:color="auto" w:fill="FFFFFF"/>
            <w:tcMar>
              <w:top w:w="100" w:type="dxa"/>
              <w:left w:w="120" w:type="dxa"/>
              <w:bottom w:w="100" w:type="dxa"/>
              <w:right w:w="120" w:type="dxa"/>
            </w:tcMar>
            <w:vAlign w:val="center"/>
          </w:tcPr>
          <w:p w14:paraId="281579E6" w14:textId="77777777" w:rsidR="00B67D7D" w:rsidRDefault="00000000">
            <w:pPr>
              <w:jc w:val="center"/>
            </w:pPr>
            <w:r>
              <w:rPr>
                <w:b/>
                <w:bCs/>
              </w:rPr>
              <w:t>Low</w:t>
            </w:r>
          </w:p>
        </w:tc>
        <w:tc>
          <w:tcPr>
            <w:tcW w:w="3400" w:type="dxa"/>
            <w:shd w:val="clear" w:color="auto" w:fill="FFFFFF"/>
            <w:tcMar>
              <w:top w:w="100" w:type="dxa"/>
              <w:left w:w="120" w:type="dxa"/>
              <w:bottom w:w="100" w:type="dxa"/>
              <w:right w:w="120" w:type="dxa"/>
            </w:tcMar>
            <w:vAlign w:val="center"/>
          </w:tcPr>
          <w:p w14:paraId="5AF234C9" w14:textId="77777777" w:rsidR="00B67D7D" w:rsidRDefault="00000000">
            <w:r>
              <w:t>Purely cosmetic icon-state bug; the security control (masking) itself works correctly, so there is no functional or data risk.</w:t>
            </w:r>
          </w:p>
        </w:tc>
      </w:tr>
      <w:tr w:rsidR="00B67D7D" w14:paraId="0BA561C4" w14:textId="77777777">
        <w:tblPrEx>
          <w:tblCellMar>
            <w:top w:w="0" w:type="dxa"/>
            <w:bottom w:w="0" w:type="dxa"/>
          </w:tblCellMar>
        </w:tblPrEx>
        <w:trPr>
          <w:cantSplit/>
        </w:trPr>
        <w:tc>
          <w:tcPr>
            <w:tcW w:w="700" w:type="dxa"/>
            <w:shd w:val="clear" w:color="auto" w:fill="F2F2F2"/>
            <w:tcMar>
              <w:top w:w="100" w:type="dxa"/>
              <w:left w:w="120" w:type="dxa"/>
              <w:bottom w:w="100" w:type="dxa"/>
              <w:right w:w="120" w:type="dxa"/>
            </w:tcMar>
            <w:vAlign w:val="center"/>
          </w:tcPr>
          <w:p w14:paraId="5FBE2EDE" w14:textId="77777777" w:rsidR="00B67D7D" w:rsidRDefault="00000000">
            <w:pPr>
              <w:jc w:val="center"/>
            </w:pPr>
            <w:r>
              <w:rPr>
                <w:b/>
                <w:bCs/>
              </w:rPr>
              <w:lastRenderedPageBreak/>
              <w:t>DEF-04</w:t>
            </w:r>
          </w:p>
        </w:tc>
        <w:tc>
          <w:tcPr>
            <w:tcW w:w="2726" w:type="dxa"/>
            <w:shd w:val="clear" w:color="auto" w:fill="F2F2F2"/>
            <w:tcMar>
              <w:top w:w="100" w:type="dxa"/>
              <w:left w:w="120" w:type="dxa"/>
              <w:bottom w:w="100" w:type="dxa"/>
              <w:right w:w="120" w:type="dxa"/>
            </w:tcMar>
            <w:vAlign w:val="center"/>
          </w:tcPr>
          <w:p w14:paraId="1E18E3ED" w14:textId="77777777" w:rsidR="00B67D7D" w:rsidRDefault="00000000">
            <w:r>
              <w:t>“Create Account” button unreachable in landscape</w:t>
            </w:r>
          </w:p>
        </w:tc>
        <w:tc>
          <w:tcPr>
            <w:tcW w:w="1100" w:type="dxa"/>
            <w:shd w:val="clear" w:color="auto" w:fill="F2F2F2"/>
            <w:tcMar>
              <w:top w:w="100" w:type="dxa"/>
              <w:left w:w="120" w:type="dxa"/>
              <w:bottom w:w="100" w:type="dxa"/>
              <w:right w:w="120" w:type="dxa"/>
            </w:tcMar>
            <w:vAlign w:val="center"/>
          </w:tcPr>
          <w:p w14:paraId="3BECB671" w14:textId="77777777" w:rsidR="00B67D7D" w:rsidRDefault="00000000">
            <w:pPr>
              <w:jc w:val="center"/>
            </w:pPr>
            <w:r>
              <w:rPr>
                <w:b/>
                <w:bCs/>
              </w:rPr>
              <w:t>Major</w:t>
            </w:r>
          </w:p>
        </w:tc>
        <w:tc>
          <w:tcPr>
            <w:tcW w:w="1100" w:type="dxa"/>
            <w:shd w:val="clear" w:color="auto" w:fill="F2F2F2"/>
            <w:tcMar>
              <w:top w:w="100" w:type="dxa"/>
              <w:left w:w="120" w:type="dxa"/>
              <w:bottom w:w="100" w:type="dxa"/>
              <w:right w:w="120" w:type="dxa"/>
            </w:tcMar>
            <w:vAlign w:val="center"/>
          </w:tcPr>
          <w:p w14:paraId="031FE180" w14:textId="77777777" w:rsidR="00B67D7D" w:rsidRDefault="00000000">
            <w:pPr>
              <w:jc w:val="center"/>
            </w:pPr>
            <w:r>
              <w:rPr>
                <w:b/>
                <w:bCs/>
              </w:rPr>
              <w:t>Low</w:t>
            </w:r>
          </w:p>
        </w:tc>
        <w:tc>
          <w:tcPr>
            <w:tcW w:w="3400" w:type="dxa"/>
            <w:shd w:val="clear" w:color="auto" w:fill="F2F2F2"/>
            <w:tcMar>
              <w:top w:w="100" w:type="dxa"/>
              <w:left w:w="120" w:type="dxa"/>
              <w:bottom w:w="100" w:type="dxa"/>
              <w:right w:w="120" w:type="dxa"/>
            </w:tcMar>
            <w:vAlign w:val="center"/>
          </w:tcPr>
          <w:p w14:paraId="791A93CF" w14:textId="77777777" w:rsidR="00B67D7D" w:rsidRDefault="00000000">
            <w:r>
              <w:t>Completely blocks sign-up when triggered (high severity) — but see the mismatch note below for why priority is still Low.</w:t>
            </w:r>
          </w:p>
        </w:tc>
      </w:tr>
      <w:tr w:rsidR="00B67D7D" w14:paraId="29B0F4A6" w14:textId="77777777">
        <w:tblPrEx>
          <w:tblCellMar>
            <w:top w:w="0" w:type="dxa"/>
            <w:bottom w:w="0" w:type="dxa"/>
          </w:tblCellMar>
        </w:tblPrEx>
        <w:trPr>
          <w:cantSplit/>
        </w:trPr>
        <w:tc>
          <w:tcPr>
            <w:tcW w:w="700" w:type="dxa"/>
            <w:shd w:val="clear" w:color="auto" w:fill="FFFFFF"/>
            <w:tcMar>
              <w:top w:w="100" w:type="dxa"/>
              <w:left w:w="120" w:type="dxa"/>
              <w:bottom w:w="100" w:type="dxa"/>
              <w:right w:w="120" w:type="dxa"/>
            </w:tcMar>
            <w:vAlign w:val="center"/>
          </w:tcPr>
          <w:p w14:paraId="62A46675" w14:textId="77777777" w:rsidR="00B67D7D" w:rsidRDefault="00000000">
            <w:pPr>
              <w:jc w:val="center"/>
            </w:pPr>
            <w:r>
              <w:rPr>
                <w:b/>
                <w:bCs/>
              </w:rPr>
              <w:t>DEF-05</w:t>
            </w:r>
          </w:p>
        </w:tc>
        <w:tc>
          <w:tcPr>
            <w:tcW w:w="2726" w:type="dxa"/>
            <w:shd w:val="clear" w:color="auto" w:fill="FFFFFF"/>
            <w:tcMar>
              <w:top w:w="100" w:type="dxa"/>
              <w:left w:w="120" w:type="dxa"/>
              <w:bottom w:w="100" w:type="dxa"/>
              <w:right w:w="120" w:type="dxa"/>
            </w:tcMar>
            <w:vAlign w:val="center"/>
          </w:tcPr>
          <w:p w14:paraId="57FB7091" w14:textId="77777777" w:rsidR="00B67D7D" w:rsidRDefault="00000000">
            <w:r>
              <w:t>Back button on OTP screen skips to Home, losing sign-up progress</w:t>
            </w:r>
          </w:p>
        </w:tc>
        <w:tc>
          <w:tcPr>
            <w:tcW w:w="1100" w:type="dxa"/>
            <w:shd w:val="clear" w:color="auto" w:fill="FFFFFF"/>
            <w:tcMar>
              <w:top w:w="100" w:type="dxa"/>
              <w:left w:w="120" w:type="dxa"/>
              <w:bottom w:w="100" w:type="dxa"/>
              <w:right w:w="120" w:type="dxa"/>
            </w:tcMar>
            <w:vAlign w:val="center"/>
          </w:tcPr>
          <w:p w14:paraId="641A5140" w14:textId="77777777" w:rsidR="00B67D7D" w:rsidRDefault="00000000">
            <w:pPr>
              <w:jc w:val="center"/>
            </w:pPr>
            <w:r>
              <w:rPr>
                <w:b/>
                <w:bCs/>
              </w:rPr>
              <w:t>Minor</w:t>
            </w:r>
          </w:p>
        </w:tc>
        <w:tc>
          <w:tcPr>
            <w:tcW w:w="1100" w:type="dxa"/>
            <w:shd w:val="clear" w:color="auto" w:fill="FFFFFF"/>
            <w:tcMar>
              <w:top w:w="100" w:type="dxa"/>
              <w:left w:w="120" w:type="dxa"/>
              <w:bottom w:w="100" w:type="dxa"/>
              <w:right w:w="120" w:type="dxa"/>
            </w:tcMar>
            <w:vAlign w:val="center"/>
          </w:tcPr>
          <w:p w14:paraId="60ABF7A3" w14:textId="77777777" w:rsidR="00B67D7D" w:rsidRDefault="00000000">
            <w:pPr>
              <w:jc w:val="center"/>
            </w:pPr>
            <w:r>
              <w:rPr>
                <w:b/>
                <w:bCs/>
              </w:rPr>
              <w:t>Medium</w:t>
            </w:r>
          </w:p>
        </w:tc>
        <w:tc>
          <w:tcPr>
            <w:tcW w:w="3400" w:type="dxa"/>
            <w:shd w:val="clear" w:color="auto" w:fill="FFFFFF"/>
            <w:tcMar>
              <w:top w:w="100" w:type="dxa"/>
              <w:left w:w="120" w:type="dxa"/>
              <w:bottom w:w="100" w:type="dxa"/>
              <w:right w:w="120" w:type="dxa"/>
            </w:tcMar>
            <w:vAlign w:val="center"/>
          </w:tcPr>
          <w:p w14:paraId="40481DED" w14:textId="77777777" w:rsidR="00B67D7D" w:rsidRDefault="00000000">
            <w:r>
              <w:t>Confusing and loses progress, but the user can simply restart sign-up, so it is inconvenient rather than blocking.</w:t>
            </w:r>
          </w:p>
        </w:tc>
      </w:tr>
    </w:tbl>
    <w:p w14:paraId="04A65F32" w14:textId="77777777" w:rsidR="00B67D7D" w:rsidRDefault="00000000">
      <w:pPr>
        <w:spacing w:before="240" w:after="100"/>
      </w:pPr>
      <w:r>
        <w:rPr>
          <w:b/>
          <w:bCs/>
          <w:color w:val="1F3864"/>
          <w:sz w:val="22"/>
          <w:szCs w:val="22"/>
        </w:rPr>
        <w:t>Where Severity and Priority Diverge – DEF-04</w:t>
      </w:r>
    </w:p>
    <w:p w14:paraId="7D9EC14D" w14:textId="77777777" w:rsidR="00B67D7D" w:rsidRDefault="00000000">
      <w:pPr>
        <w:spacing w:after="160" w:line="300" w:lineRule="auto"/>
      </w:pPr>
      <w:r>
        <w:rPr>
          <w:sz w:val="22"/>
          <w:szCs w:val="22"/>
        </w:rPr>
        <w:t xml:space="preserve">DEF-04 (Create Account button unreachable in landscape) is rated </w:t>
      </w:r>
      <w:r>
        <w:rPr>
          <w:b/>
          <w:bCs/>
          <w:sz w:val="22"/>
          <w:szCs w:val="22"/>
        </w:rPr>
        <w:t>Major severity</w:t>
      </w:r>
      <w:r>
        <w:rPr>
          <w:sz w:val="22"/>
          <w:szCs w:val="22"/>
        </w:rPr>
        <w:t xml:space="preserve"> because, when it occurs, it fully blocks the core function of the screen — the user cannot complete sign-up at all. However, it is rated </w:t>
      </w:r>
      <w:r>
        <w:rPr>
          <w:b/>
          <w:bCs/>
          <w:sz w:val="22"/>
          <w:szCs w:val="22"/>
        </w:rPr>
        <w:t>Low priority</w:t>
      </w:r>
      <w:r>
        <w:rPr>
          <w:sz w:val="22"/>
          <w:szCs w:val="22"/>
        </w:rPr>
        <w:t xml:space="preserve"> because the trigger condition is narrow: it only appears in landscape orientation, on a subset of Android devices, and mobile users overwhelmingly sign up in portrait mode. A simple workaround also exists — rotating back to portrait. Compare this with DEF-01 and DEF-02, which are functionally less catastrophic on their own but affect every single user on every device on the very first screen of the funnel, and therefore need to be fixed sooner (High priority) even though their severity rating is the same. This is the classic illustration that severity is about damage, while priority is about scheduling.</w:t>
      </w:r>
    </w:p>
    <w:p w14:paraId="4E6A9365" w14:textId="77777777" w:rsidR="00B67D7D" w:rsidRDefault="00000000">
      <w:pPr>
        <w:pStyle w:val="Heading1"/>
        <w:pBdr>
          <w:bottom w:val="single" w:sz="6" w:space="4" w:color="2E74B5"/>
        </w:pBdr>
        <w:spacing w:before="380" w:after="160"/>
      </w:pPr>
      <w:r>
        <w:rPr>
          <w:b/>
          <w:bCs/>
          <w:color w:val="1F3864"/>
        </w:rPr>
        <w:t>Q3.  Bug Life Cycle Diagram</w:t>
      </w:r>
    </w:p>
    <w:p w14:paraId="69A55D3C" w14:textId="77777777" w:rsidR="00B67D7D" w:rsidRDefault="00000000">
      <w:pPr>
        <w:spacing w:after="160" w:line="300" w:lineRule="auto"/>
      </w:pPr>
      <w:r>
        <w:rPr>
          <w:sz w:val="22"/>
          <w:szCs w:val="22"/>
        </w:rPr>
        <w:t>The diagram below shows how a defect moves from being logged to closure, including the three “no-fix” exit paths (Rejected, Duplicate, Not a Bug), the Deferred path for postponed fixes, and the Retest → Reopened loop when a fix does not hold.</w:t>
      </w:r>
    </w:p>
    <w:p w14:paraId="07F6B4F2" w14:textId="77777777" w:rsidR="00B67D7D" w:rsidRDefault="00000000">
      <w:pPr>
        <w:spacing w:after="120"/>
        <w:jc w:val="center"/>
      </w:pPr>
      <w:r>
        <w:rPr>
          <w:noProof/>
        </w:rPr>
        <w:drawing>
          <wp:inline distT="0" distB="0" distL="0" distR="0" wp14:anchorId="3EAA1F77" wp14:editId="1F85F645">
            <wp:extent cx="5334000" cy="4210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210050"/>
                    </a:xfrm>
                    <a:prstGeom prst="rect">
                      <a:avLst/>
                    </a:prstGeom>
                  </pic:spPr>
                </pic:pic>
              </a:graphicData>
            </a:graphic>
          </wp:inline>
        </w:drawing>
      </w:r>
    </w:p>
    <w:p w14:paraId="1E885BD7" w14:textId="77777777" w:rsidR="00B67D7D" w:rsidRDefault="00000000">
      <w:pPr>
        <w:spacing w:after="100"/>
      </w:pPr>
      <w:r>
        <w:rPr>
          <w:b/>
          <w:bCs/>
          <w:sz w:val="22"/>
          <w:szCs w:val="22"/>
        </w:rPr>
        <w:t>State summary:</w:t>
      </w:r>
    </w:p>
    <w:p w14:paraId="70381C39" w14:textId="77777777" w:rsidR="00B67D7D" w:rsidRDefault="00000000">
      <w:pPr>
        <w:pStyle w:val="ListParagraph"/>
        <w:numPr>
          <w:ilvl w:val="0"/>
          <w:numId w:val="2"/>
        </w:numPr>
        <w:spacing w:after="80"/>
      </w:pPr>
      <w:r>
        <w:rPr>
          <w:sz w:val="22"/>
          <w:szCs w:val="22"/>
        </w:rPr>
        <w:lastRenderedPageBreak/>
        <w:t>New → Assigned → Open → Fixed → Retest → Verified → Closed is the standard happy path.</w:t>
      </w:r>
    </w:p>
    <w:p w14:paraId="339F9DBC" w14:textId="77777777" w:rsidR="00B67D7D" w:rsidRDefault="00000000">
      <w:pPr>
        <w:pStyle w:val="ListParagraph"/>
        <w:numPr>
          <w:ilvl w:val="0"/>
          <w:numId w:val="2"/>
        </w:numPr>
        <w:spacing w:after="80"/>
      </w:pPr>
      <w:r>
        <w:rPr>
          <w:sz w:val="22"/>
          <w:szCs w:val="22"/>
        </w:rPr>
        <w:t>From New, a defect can instead be marked Rejected, Duplicate, Deferred, or Not a Bug — all of which are eventually Closed without a code fix (Deferred can also re-enter as Open in a later release).</w:t>
      </w:r>
    </w:p>
    <w:p w14:paraId="0D7305D9" w14:textId="77777777" w:rsidR="00B67D7D" w:rsidRDefault="00000000">
      <w:pPr>
        <w:pStyle w:val="ListParagraph"/>
        <w:numPr>
          <w:ilvl w:val="0"/>
          <w:numId w:val="2"/>
        </w:numPr>
        <w:spacing w:after="80"/>
      </w:pPr>
      <w:r>
        <w:rPr>
          <w:sz w:val="22"/>
          <w:szCs w:val="22"/>
        </w:rPr>
        <w:t>If Retest fails, the defect is Reopened and routed back to Open for another fix attempt.</w:t>
      </w:r>
    </w:p>
    <w:p w14:paraId="10B4136D" w14:textId="77777777" w:rsidR="00B67D7D" w:rsidRDefault="00000000">
      <w:pPr>
        <w:pStyle w:val="Heading1"/>
        <w:pBdr>
          <w:bottom w:val="single" w:sz="6" w:space="4" w:color="2E74B5"/>
        </w:pBdr>
        <w:spacing w:before="380" w:after="160"/>
      </w:pPr>
      <w:r>
        <w:rPr>
          <w:b/>
          <w:bCs/>
          <w:color w:val="1F3864"/>
        </w:rPr>
        <w:t>Q4.  Scenario – A UPI Defect Found After Go-Live</w:t>
      </w:r>
    </w:p>
    <w:p w14:paraId="6759FBE9" w14:textId="77777777" w:rsidR="00B67D7D" w:rsidRDefault="00000000">
      <w:pPr>
        <w:spacing w:after="160" w:line="300" w:lineRule="auto"/>
      </w:pPr>
      <w:r>
        <w:rPr>
          <w:sz w:val="22"/>
          <w:szCs w:val="22"/>
        </w:rPr>
        <w:t>During a festive-sale campaign, a defect in Paytm’s UPI payment module caused the app to show “Payment Failed” to the user even when the bank had actually debited the amount and credited the merchant. Because the reconciliation check only ran once nightly, the mismatch stayed invisible until customer-support tickets and social media complaints began piling up two days after the release — by which point thousands of live transactions across real bank accounts had been affected.</w:t>
      </w:r>
    </w:p>
    <w:p w14:paraId="02220625" w14:textId="77777777" w:rsidR="00B67D7D" w:rsidRDefault="00000000">
      <w:pPr>
        <w:spacing w:after="160" w:line="300" w:lineRule="auto"/>
      </w:pPr>
      <w:r>
        <w:rPr>
          <w:sz w:val="22"/>
          <w:szCs w:val="22"/>
        </w:rPr>
        <w:t>Had this same defect been caught during development — say, in a functional or integration test that verified the UI status against the actual bank response — it would have been a single ticket, fixed and retested within the sprint, with zero customer impact and no money at risk. Found in production instead, it becomes a P1 incident: an emergency hotfix, manual reconciliation and refunds for every affected user, incident reports to the payment partner and possibly the regulator, and a hit to user trust in the app for handling money. The table below summarizes the difference.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B67D7D" w14:paraId="4A69CE0E" w14:textId="77777777">
        <w:tblPrEx>
          <w:tblCellMar>
            <w:top w:w="0" w:type="dxa"/>
            <w:bottom w:w="0" w:type="dxa"/>
          </w:tblCellMar>
        </w:tblPrEx>
        <w:trPr>
          <w:cantSplit/>
          <w:tblHeader/>
        </w:trPr>
        <w:tc>
          <w:tcPr>
            <w:tcW w:w="2200" w:type="dxa"/>
            <w:shd w:val="clear" w:color="auto" w:fill="1F3864"/>
            <w:tcMar>
              <w:top w:w="100" w:type="dxa"/>
              <w:left w:w="120" w:type="dxa"/>
              <w:bottom w:w="100" w:type="dxa"/>
              <w:right w:w="120" w:type="dxa"/>
            </w:tcMar>
            <w:vAlign w:val="center"/>
          </w:tcPr>
          <w:p w14:paraId="6E526D84" w14:textId="77777777" w:rsidR="00B67D7D" w:rsidRDefault="00000000">
            <w:r>
              <w:rPr>
                <w:b/>
                <w:bCs/>
                <w:color w:val="FFFFFF"/>
              </w:rPr>
              <w:t>Aspect</w:t>
            </w:r>
          </w:p>
        </w:tc>
        <w:tc>
          <w:tcPr>
            <w:tcW w:w="3413" w:type="dxa"/>
            <w:shd w:val="clear" w:color="auto" w:fill="1B5E20"/>
            <w:tcMar>
              <w:top w:w="100" w:type="dxa"/>
              <w:left w:w="120" w:type="dxa"/>
              <w:bottom w:w="100" w:type="dxa"/>
              <w:right w:w="120" w:type="dxa"/>
            </w:tcMar>
            <w:vAlign w:val="center"/>
          </w:tcPr>
          <w:p w14:paraId="6B404402" w14:textId="77777777" w:rsidR="00B67D7D" w:rsidRDefault="00000000">
            <w:r>
              <w:rPr>
                <w:b/>
                <w:bCs/>
                <w:color w:val="FFFFFF"/>
              </w:rPr>
              <w:t>Found during Development / Testing</w:t>
            </w:r>
          </w:p>
        </w:tc>
        <w:tc>
          <w:tcPr>
            <w:tcW w:w="3413" w:type="dxa"/>
            <w:shd w:val="clear" w:color="auto" w:fill="B71C1C"/>
            <w:tcMar>
              <w:top w:w="100" w:type="dxa"/>
              <w:left w:w="120" w:type="dxa"/>
              <w:bottom w:w="100" w:type="dxa"/>
              <w:right w:w="120" w:type="dxa"/>
            </w:tcMar>
            <w:vAlign w:val="center"/>
          </w:tcPr>
          <w:p w14:paraId="1B7DF697" w14:textId="77777777" w:rsidR="00B67D7D" w:rsidRDefault="00000000">
            <w:r>
              <w:rPr>
                <w:b/>
                <w:bCs/>
                <w:color w:val="FFFFFF"/>
              </w:rPr>
              <w:t>Found after Go-Live (Production)</w:t>
            </w:r>
          </w:p>
        </w:tc>
      </w:tr>
      <w:tr w:rsidR="00B67D7D" w14:paraId="68F65F9E" w14:textId="77777777">
        <w:tblPrEx>
          <w:tblCellMar>
            <w:top w:w="0" w:type="dxa"/>
            <w:bottom w:w="0" w:type="dxa"/>
          </w:tblCellMar>
        </w:tblPrEx>
        <w:trPr>
          <w:cantSplit/>
        </w:trPr>
        <w:tc>
          <w:tcPr>
            <w:tcW w:w="2200" w:type="dxa"/>
            <w:shd w:val="clear" w:color="auto" w:fill="FFFFFF"/>
            <w:tcMar>
              <w:top w:w="100" w:type="dxa"/>
              <w:left w:w="120" w:type="dxa"/>
              <w:bottom w:w="100" w:type="dxa"/>
              <w:right w:w="120" w:type="dxa"/>
            </w:tcMar>
            <w:vAlign w:val="center"/>
          </w:tcPr>
          <w:p w14:paraId="5812C8B3" w14:textId="77777777" w:rsidR="00B67D7D" w:rsidRDefault="00000000">
            <w:r>
              <w:rPr>
                <w:b/>
                <w:bCs/>
              </w:rPr>
              <w:t>Cost to fix</w:t>
            </w:r>
          </w:p>
        </w:tc>
        <w:tc>
          <w:tcPr>
            <w:tcW w:w="3413" w:type="dxa"/>
            <w:shd w:val="clear" w:color="auto" w:fill="FFFFFF"/>
            <w:tcMar>
              <w:top w:w="100" w:type="dxa"/>
              <w:left w:w="120" w:type="dxa"/>
              <w:bottom w:w="100" w:type="dxa"/>
              <w:right w:w="120" w:type="dxa"/>
            </w:tcMar>
            <w:vAlign w:val="center"/>
          </w:tcPr>
          <w:p w14:paraId="63AA5E28" w14:textId="77777777" w:rsidR="00B67D7D" w:rsidRDefault="00000000">
            <w:r>
              <w:t>Low — a code change, unit test and one round of QA regression</w:t>
            </w:r>
          </w:p>
        </w:tc>
        <w:tc>
          <w:tcPr>
            <w:tcW w:w="3413" w:type="dxa"/>
            <w:shd w:val="clear" w:color="auto" w:fill="FFFFFF"/>
            <w:tcMar>
              <w:top w:w="100" w:type="dxa"/>
              <w:left w:w="120" w:type="dxa"/>
              <w:bottom w:w="100" w:type="dxa"/>
              <w:right w:w="120" w:type="dxa"/>
            </w:tcMar>
            <w:vAlign w:val="center"/>
          </w:tcPr>
          <w:p w14:paraId="19EB0A49" w14:textId="77777777" w:rsidR="00B67D7D" w:rsidRDefault="00000000">
            <w:r>
              <w:t>High — hotfix, emergency release, war-room, and full regression across payment flows</w:t>
            </w:r>
          </w:p>
        </w:tc>
      </w:tr>
      <w:tr w:rsidR="00B67D7D" w14:paraId="69CCC513" w14:textId="77777777">
        <w:tblPrEx>
          <w:tblCellMar>
            <w:top w:w="0" w:type="dxa"/>
            <w:bottom w:w="0" w:type="dxa"/>
          </w:tblCellMar>
        </w:tblPrEx>
        <w:trPr>
          <w:cantSplit/>
        </w:trPr>
        <w:tc>
          <w:tcPr>
            <w:tcW w:w="2200" w:type="dxa"/>
            <w:shd w:val="clear" w:color="auto" w:fill="F2F2F2"/>
            <w:tcMar>
              <w:top w:w="100" w:type="dxa"/>
              <w:left w:w="120" w:type="dxa"/>
              <w:bottom w:w="100" w:type="dxa"/>
              <w:right w:w="120" w:type="dxa"/>
            </w:tcMar>
            <w:vAlign w:val="center"/>
          </w:tcPr>
          <w:p w14:paraId="4EBF2D14" w14:textId="77777777" w:rsidR="00B67D7D" w:rsidRDefault="00000000">
            <w:r>
              <w:rPr>
                <w:b/>
                <w:bCs/>
              </w:rPr>
              <w:t>Impact scope</w:t>
            </w:r>
          </w:p>
        </w:tc>
        <w:tc>
          <w:tcPr>
            <w:tcW w:w="3413" w:type="dxa"/>
            <w:shd w:val="clear" w:color="auto" w:fill="F2F2F2"/>
            <w:tcMar>
              <w:top w:w="100" w:type="dxa"/>
              <w:left w:w="120" w:type="dxa"/>
              <w:bottom w:w="100" w:type="dxa"/>
              <w:right w:w="120" w:type="dxa"/>
            </w:tcMar>
            <w:vAlign w:val="center"/>
          </w:tcPr>
          <w:p w14:paraId="17313BB3" w14:textId="77777777" w:rsidR="00B67D7D" w:rsidRDefault="00000000">
            <w:r>
              <w:t>Contained to the build in QA; no real users or real money affected</w:t>
            </w:r>
          </w:p>
        </w:tc>
        <w:tc>
          <w:tcPr>
            <w:tcW w:w="3413" w:type="dxa"/>
            <w:shd w:val="clear" w:color="auto" w:fill="F2F2F2"/>
            <w:tcMar>
              <w:top w:w="100" w:type="dxa"/>
              <w:left w:w="120" w:type="dxa"/>
              <w:bottom w:w="100" w:type="dxa"/>
              <w:right w:w="120" w:type="dxa"/>
            </w:tcMar>
            <w:vAlign w:val="center"/>
          </w:tcPr>
          <w:p w14:paraId="56CBF6ED" w14:textId="77777777" w:rsidR="00B67D7D" w:rsidRDefault="00000000">
            <w:r>
              <w:t>Live, real-money transactions; potentially thousands of users affected before rollback</w:t>
            </w:r>
          </w:p>
        </w:tc>
      </w:tr>
      <w:tr w:rsidR="00B67D7D" w14:paraId="7EC0D085" w14:textId="77777777">
        <w:tblPrEx>
          <w:tblCellMar>
            <w:top w:w="0" w:type="dxa"/>
            <w:bottom w:w="0" w:type="dxa"/>
          </w:tblCellMar>
        </w:tblPrEx>
        <w:trPr>
          <w:cantSplit/>
        </w:trPr>
        <w:tc>
          <w:tcPr>
            <w:tcW w:w="2200" w:type="dxa"/>
            <w:shd w:val="clear" w:color="auto" w:fill="FFFFFF"/>
            <w:tcMar>
              <w:top w:w="100" w:type="dxa"/>
              <w:left w:w="120" w:type="dxa"/>
              <w:bottom w:w="100" w:type="dxa"/>
              <w:right w:w="120" w:type="dxa"/>
            </w:tcMar>
            <w:vAlign w:val="center"/>
          </w:tcPr>
          <w:p w14:paraId="6FB16814" w14:textId="77777777" w:rsidR="00B67D7D" w:rsidRDefault="00000000">
            <w:r>
              <w:rPr>
                <w:b/>
                <w:bCs/>
              </w:rPr>
              <w:t>Business impact</w:t>
            </w:r>
          </w:p>
        </w:tc>
        <w:tc>
          <w:tcPr>
            <w:tcW w:w="3413" w:type="dxa"/>
            <w:shd w:val="clear" w:color="auto" w:fill="FFFFFF"/>
            <w:tcMar>
              <w:top w:w="100" w:type="dxa"/>
              <w:left w:w="120" w:type="dxa"/>
              <w:bottom w:w="100" w:type="dxa"/>
              <w:right w:w="120" w:type="dxa"/>
            </w:tcMar>
            <w:vAlign w:val="center"/>
          </w:tcPr>
          <w:p w14:paraId="03F2C2FA" w14:textId="77777777" w:rsidR="00B67D7D" w:rsidRDefault="00000000">
            <w:r>
              <w:t>None visible to customers or leadership</w:t>
            </w:r>
          </w:p>
        </w:tc>
        <w:tc>
          <w:tcPr>
            <w:tcW w:w="3413" w:type="dxa"/>
            <w:shd w:val="clear" w:color="auto" w:fill="FFFFFF"/>
            <w:tcMar>
              <w:top w:w="100" w:type="dxa"/>
              <w:left w:w="120" w:type="dxa"/>
              <w:bottom w:w="100" w:type="dxa"/>
              <w:right w:w="120" w:type="dxa"/>
            </w:tcMar>
            <w:vAlign w:val="center"/>
          </w:tcPr>
          <w:p w14:paraId="132EA01A" w14:textId="77777777" w:rsidR="00B67D7D" w:rsidRDefault="00000000">
            <w:r>
              <w:t>Failed/duplicate debits, refund processing, customer complaints, App Store reviews, regulatory scrutiny (RBI/NPCI for UPI)</w:t>
            </w:r>
          </w:p>
        </w:tc>
      </w:tr>
      <w:tr w:rsidR="00B67D7D" w14:paraId="6FC1A67E" w14:textId="77777777">
        <w:tblPrEx>
          <w:tblCellMar>
            <w:top w:w="0" w:type="dxa"/>
            <w:bottom w:w="0" w:type="dxa"/>
          </w:tblCellMar>
        </w:tblPrEx>
        <w:trPr>
          <w:cantSplit/>
        </w:trPr>
        <w:tc>
          <w:tcPr>
            <w:tcW w:w="2200" w:type="dxa"/>
            <w:shd w:val="clear" w:color="auto" w:fill="F2F2F2"/>
            <w:tcMar>
              <w:top w:w="100" w:type="dxa"/>
              <w:left w:w="120" w:type="dxa"/>
              <w:bottom w:w="100" w:type="dxa"/>
              <w:right w:w="120" w:type="dxa"/>
            </w:tcMar>
            <w:vAlign w:val="center"/>
          </w:tcPr>
          <w:p w14:paraId="460C7EAB" w14:textId="77777777" w:rsidR="00B67D7D" w:rsidRDefault="00000000">
            <w:r>
              <w:rPr>
                <w:b/>
                <w:bCs/>
              </w:rPr>
              <w:t>Trust &amp; brand</w:t>
            </w:r>
          </w:p>
        </w:tc>
        <w:tc>
          <w:tcPr>
            <w:tcW w:w="3413" w:type="dxa"/>
            <w:shd w:val="clear" w:color="auto" w:fill="F2F2F2"/>
            <w:tcMar>
              <w:top w:w="100" w:type="dxa"/>
              <w:left w:w="120" w:type="dxa"/>
              <w:bottom w:w="100" w:type="dxa"/>
              <w:right w:w="120" w:type="dxa"/>
            </w:tcMar>
            <w:vAlign w:val="center"/>
          </w:tcPr>
          <w:p w14:paraId="686445CD" w14:textId="77777777" w:rsidR="00B67D7D" w:rsidRDefault="00000000">
            <w:r>
              <w:t>No impact</w:t>
            </w:r>
          </w:p>
        </w:tc>
        <w:tc>
          <w:tcPr>
            <w:tcW w:w="3413" w:type="dxa"/>
            <w:shd w:val="clear" w:color="auto" w:fill="F2F2F2"/>
            <w:tcMar>
              <w:top w:w="100" w:type="dxa"/>
              <w:left w:w="120" w:type="dxa"/>
              <w:bottom w:w="100" w:type="dxa"/>
              <w:right w:w="120" w:type="dxa"/>
            </w:tcMar>
            <w:vAlign w:val="center"/>
          </w:tcPr>
          <w:p w14:paraId="69D6C7F3" w14:textId="77777777" w:rsidR="00B67D7D" w:rsidRDefault="00000000">
            <w:r>
              <w:t>Erodes user trust in the app for financial transactions — hard to win back</w:t>
            </w:r>
          </w:p>
        </w:tc>
      </w:tr>
    </w:tbl>
    <w:p w14:paraId="731D1B38" w14:textId="77777777" w:rsidR="00951923" w:rsidRDefault="00951923"/>
    <w:sectPr w:rsidR="00951923">
      <w:headerReference w:type="default" r:id="rId8"/>
      <w:footerReference w:type="default" r:id="rId9"/>
      <w:pgSz w:w="11906" w:h="16838"/>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BBFEE" w14:textId="77777777" w:rsidR="00951923" w:rsidRDefault="00951923">
      <w:r>
        <w:separator/>
      </w:r>
    </w:p>
  </w:endnote>
  <w:endnote w:type="continuationSeparator" w:id="0">
    <w:p w14:paraId="2C886E05" w14:textId="77777777" w:rsidR="00951923" w:rsidRDefault="00951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17141" w14:textId="77777777" w:rsidR="00B67D7D"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4E15C0">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4E15C0">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07D3F" w14:textId="77777777" w:rsidR="00951923" w:rsidRDefault="00951923">
      <w:r>
        <w:separator/>
      </w:r>
    </w:p>
  </w:footnote>
  <w:footnote w:type="continuationSeparator" w:id="0">
    <w:p w14:paraId="71263FF1" w14:textId="77777777" w:rsidR="00951923" w:rsidRDefault="00951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CF7C" w14:textId="77777777" w:rsidR="00B67D7D" w:rsidRDefault="00000000">
    <w:pPr>
      <w:pBdr>
        <w:bottom w:val="single" w:sz="4" w:space="4" w:color="BFBFBF"/>
      </w:pBdr>
      <w:jc w:val="right"/>
    </w:pPr>
    <w:r>
      <w:rPr>
        <w:color w:val="808080"/>
        <w:sz w:val="16"/>
        <w:szCs w:val="16"/>
      </w:rPr>
      <w:t>QA Defect Analysis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772C5"/>
    <w:multiLevelType w:val="hybridMultilevel"/>
    <w:tmpl w:val="95D21828"/>
    <w:lvl w:ilvl="0" w:tplc="35186152">
      <w:start w:val="1"/>
      <w:numFmt w:val="bullet"/>
      <w:lvlText w:val="•"/>
      <w:lvlJc w:val="left"/>
      <w:pPr>
        <w:ind w:left="420" w:hanging="260"/>
      </w:pPr>
    </w:lvl>
    <w:lvl w:ilvl="1" w:tplc="FA180C72">
      <w:numFmt w:val="decimal"/>
      <w:lvlText w:val=""/>
      <w:lvlJc w:val="left"/>
    </w:lvl>
    <w:lvl w:ilvl="2" w:tplc="B0AC66FE">
      <w:numFmt w:val="decimal"/>
      <w:lvlText w:val=""/>
      <w:lvlJc w:val="left"/>
    </w:lvl>
    <w:lvl w:ilvl="3" w:tplc="A088E7D6">
      <w:numFmt w:val="decimal"/>
      <w:lvlText w:val=""/>
      <w:lvlJc w:val="left"/>
    </w:lvl>
    <w:lvl w:ilvl="4" w:tplc="94864AE2">
      <w:numFmt w:val="decimal"/>
      <w:lvlText w:val=""/>
      <w:lvlJc w:val="left"/>
    </w:lvl>
    <w:lvl w:ilvl="5" w:tplc="276EFD8C">
      <w:numFmt w:val="decimal"/>
      <w:lvlText w:val=""/>
      <w:lvlJc w:val="left"/>
    </w:lvl>
    <w:lvl w:ilvl="6" w:tplc="677C7D84">
      <w:numFmt w:val="decimal"/>
      <w:lvlText w:val=""/>
      <w:lvlJc w:val="left"/>
    </w:lvl>
    <w:lvl w:ilvl="7" w:tplc="CD26A208">
      <w:numFmt w:val="decimal"/>
      <w:lvlText w:val=""/>
      <w:lvlJc w:val="left"/>
    </w:lvl>
    <w:lvl w:ilvl="8" w:tplc="8D1C04EC">
      <w:numFmt w:val="decimal"/>
      <w:lvlText w:val=""/>
      <w:lvlJc w:val="left"/>
    </w:lvl>
  </w:abstractNum>
  <w:abstractNum w:abstractNumId="1" w15:restartNumberingAfterBreak="0">
    <w:nsid w:val="77943C9D"/>
    <w:multiLevelType w:val="hybridMultilevel"/>
    <w:tmpl w:val="E33E706E"/>
    <w:lvl w:ilvl="0" w:tplc="C9127260">
      <w:start w:val="1"/>
      <w:numFmt w:val="bullet"/>
      <w:lvlText w:val="●"/>
      <w:lvlJc w:val="left"/>
      <w:pPr>
        <w:ind w:left="720" w:hanging="360"/>
      </w:pPr>
    </w:lvl>
    <w:lvl w:ilvl="1" w:tplc="6CBCFA52">
      <w:start w:val="1"/>
      <w:numFmt w:val="bullet"/>
      <w:lvlText w:val="○"/>
      <w:lvlJc w:val="left"/>
      <w:pPr>
        <w:ind w:left="1440" w:hanging="360"/>
      </w:pPr>
    </w:lvl>
    <w:lvl w:ilvl="2" w:tplc="C4AEE476">
      <w:start w:val="1"/>
      <w:numFmt w:val="bullet"/>
      <w:lvlText w:val="■"/>
      <w:lvlJc w:val="left"/>
      <w:pPr>
        <w:ind w:left="2160" w:hanging="360"/>
      </w:pPr>
    </w:lvl>
    <w:lvl w:ilvl="3" w:tplc="3EBAB1BE">
      <w:start w:val="1"/>
      <w:numFmt w:val="bullet"/>
      <w:lvlText w:val="●"/>
      <w:lvlJc w:val="left"/>
      <w:pPr>
        <w:ind w:left="2880" w:hanging="360"/>
      </w:pPr>
    </w:lvl>
    <w:lvl w:ilvl="4" w:tplc="47027388">
      <w:start w:val="1"/>
      <w:numFmt w:val="bullet"/>
      <w:lvlText w:val="○"/>
      <w:lvlJc w:val="left"/>
      <w:pPr>
        <w:ind w:left="3600" w:hanging="360"/>
      </w:pPr>
    </w:lvl>
    <w:lvl w:ilvl="5" w:tplc="BC72EB9C">
      <w:start w:val="1"/>
      <w:numFmt w:val="bullet"/>
      <w:lvlText w:val="■"/>
      <w:lvlJc w:val="left"/>
      <w:pPr>
        <w:ind w:left="4320" w:hanging="360"/>
      </w:pPr>
    </w:lvl>
    <w:lvl w:ilvl="6" w:tplc="54024A4A">
      <w:start w:val="1"/>
      <w:numFmt w:val="bullet"/>
      <w:lvlText w:val="●"/>
      <w:lvlJc w:val="left"/>
      <w:pPr>
        <w:ind w:left="5040" w:hanging="360"/>
      </w:pPr>
    </w:lvl>
    <w:lvl w:ilvl="7" w:tplc="69B246DE">
      <w:start w:val="1"/>
      <w:numFmt w:val="bullet"/>
      <w:lvlText w:val="●"/>
      <w:lvlJc w:val="left"/>
      <w:pPr>
        <w:ind w:left="5760" w:hanging="360"/>
      </w:pPr>
    </w:lvl>
    <w:lvl w:ilvl="8" w:tplc="0C509E66">
      <w:start w:val="1"/>
      <w:numFmt w:val="bullet"/>
      <w:lvlText w:val="●"/>
      <w:lvlJc w:val="left"/>
      <w:pPr>
        <w:ind w:left="6480" w:hanging="360"/>
      </w:pPr>
    </w:lvl>
  </w:abstractNum>
  <w:num w:numId="1" w16cid:durableId="1288270578">
    <w:abstractNumId w:val="1"/>
    <w:lvlOverride w:ilvl="0">
      <w:startOverride w:val="1"/>
    </w:lvlOverride>
  </w:num>
  <w:num w:numId="2" w16cid:durableId="1295333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D7D"/>
    <w:rsid w:val="004E15C0"/>
    <w:rsid w:val="00951923"/>
    <w:rsid w:val="00A86882"/>
    <w:rsid w:val="00B67D7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818A5"/>
  <w15:docId w15:val="{0B501EBA-4435-4E78-8A1D-4CED0C6B8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932</Words>
  <Characters>5315</Characters>
  <Application>Microsoft Office Word</Application>
  <DocSecurity>0</DocSecurity>
  <Lines>44</Lines>
  <Paragraphs>12</Paragraphs>
  <ScaleCrop>false</ScaleCrop>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DHAVAL TRIVEDI</cp:lastModifiedBy>
  <cp:revision>2</cp:revision>
  <dcterms:created xsi:type="dcterms:W3CDTF">2026-08-17T06:35:00Z</dcterms:created>
  <dcterms:modified xsi:type="dcterms:W3CDTF">2026-08-17T06:37:00Z</dcterms:modified>
</cp:coreProperties>
</file>