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F9BB" w14:textId="77777777" w:rsidR="006B3BF4" w:rsidRDefault="006B3BF4" w:rsidP="006B3B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Practical: 1</w:t>
      </w:r>
    </w:p>
    <w:p w14:paraId="525F3E98" w14:textId="17543793" w:rsidR="006B3BF4" w:rsidRDefault="006B3BF4" w:rsidP="006B3BF4">
      <w:pPr>
        <w:pStyle w:val="Heading1"/>
        <w:tabs>
          <w:tab w:val="left" w:pos="8460"/>
        </w:tabs>
        <w:ind w:right="-54"/>
        <w:jc w:val="center"/>
        <w:rPr>
          <w:color w:val="000000"/>
        </w:rPr>
      </w:pPr>
      <w:r>
        <w:rPr>
          <w:color w:val="000000"/>
        </w:rPr>
        <w:t>Aim: To Implement following logic gates Electronics Work Bench (EWB).</w:t>
      </w:r>
    </w:p>
    <w:p w14:paraId="14E4C877" w14:textId="77777777" w:rsidR="006B3BF4" w:rsidRPr="006B3BF4" w:rsidRDefault="006B3BF4" w:rsidP="006B3BF4"/>
    <w:p w14:paraId="2AF127E2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1. AND Gate</w:t>
      </w:r>
    </w:p>
    <w:p w14:paraId="0093DAB4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only when both inputs A and B are high.</w:t>
      </w:r>
    </w:p>
    <w:p w14:paraId="4339D773" w14:textId="1F843CBA" w:rsidR="006B3BF4" w:rsidRDefault="006B3BF4" w:rsidP="006B3BF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667C1F" wp14:editId="5F1ABAFC">
            <wp:extent cx="4831080" cy="1630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2921" w14:textId="77777777" w:rsidR="006B3BF4" w:rsidRDefault="006B3BF4" w:rsidP="006B3BF4">
      <w:pPr>
        <w:jc w:val="center"/>
        <w:rPr>
          <w:b/>
          <w:sz w:val="32"/>
          <w:szCs w:val="32"/>
        </w:rPr>
      </w:pPr>
    </w:p>
    <w:p w14:paraId="50358777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2. OR Gate</w:t>
      </w:r>
    </w:p>
    <w:p w14:paraId="309ACE14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when either or both of inputs A or B is high. This is logically different from the exclusive OR</w:t>
      </w:r>
    </w:p>
    <w:p w14:paraId="3DE093AE" w14:textId="78C32EA3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B4772B" wp14:editId="5F025D53">
            <wp:extent cx="4808220" cy="1607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5FD0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3. NAND Gate</w:t>
      </w:r>
    </w:p>
    <w:p w14:paraId="4FFE9417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output is high when either of inputs A or B is high, or if neither is high. In other words, it is normally high, going low only if both A and B are high.</w:t>
      </w:r>
    </w:p>
    <w:p w14:paraId="748414FD" w14:textId="2BEA037A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4C9885" wp14:editId="6180F954">
            <wp:extent cx="2141220" cy="1569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1790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>The NAND gate and the</w:t>
      </w:r>
      <w:r>
        <w:rPr>
          <w:rStyle w:val="apple-converted-space"/>
          <w:color w:val="000000"/>
        </w:rPr>
        <w:t> </w:t>
      </w:r>
      <w:hyperlink r:id="rId10" w:anchor="c1" w:history="1">
        <w:r>
          <w:rPr>
            <w:rStyle w:val="Hyperlink"/>
            <w:color w:val="000000"/>
          </w:rPr>
          <w:t>NOR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can be said to be universal gates since</w:t>
      </w:r>
      <w:r>
        <w:rPr>
          <w:rStyle w:val="apple-converted-space"/>
          <w:color w:val="000000"/>
        </w:rPr>
        <w:t> </w:t>
      </w:r>
      <w:hyperlink r:id="rId11" w:anchor="c4" w:history="1">
        <w:r>
          <w:rPr>
            <w:rStyle w:val="Hyperlink"/>
            <w:color w:val="000000"/>
          </w:rPr>
          <w:t>combinations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of them can be used to accomplish any of the</w:t>
      </w:r>
      <w:r>
        <w:rPr>
          <w:rStyle w:val="apple-converted-space"/>
          <w:color w:val="000000"/>
        </w:rPr>
        <w:t> </w:t>
      </w:r>
      <w:hyperlink r:id="rId12" w:anchor="c1" w:history="1">
        <w:r>
          <w:rPr>
            <w:rStyle w:val="Hyperlink"/>
            <w:color w:val="000000"/>
          </w:rPr>
          <w:t>basic operations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and can thus produce an</w:t>
      </w:r>
      <w:r>
        <w:rPr>
          <w:rStyle w:val="apple-converted-space"/>
          <w:color w:val="000000"/>
        </w:rPr>
        <w:t> </w:t>
      </w:r>
      <w:hyperlink r:id="rId13" w:anchor="c3" w:history="1">
        <w:r>
          <w:rPr>
            <w:rStyle w:val="Hyperlink"/>
            <w:color w:val="000000"/>
          </w:rPr>
          <w:t>inverter</w:t>
        </w:r>
      </w:hyperlink>
      <w:r>
        <w:rPr>
          <w:color w:val="000000"/>
        </w:rPr>
        <w:t xml:space="preserve">, </w:t>
      </w:r>
      <w:r>
        <w:rPr>
          <w:color w:val="000000"/>
        </w:rPr>
        <w:lastRenderedPageBreak/>
        <w:t>an</w:t>
      </w:r>
      <w:r>
        <w:rPr>
          <w:rStyle w:val="apple-converted-space"/>
          <w:color w:val="000000"/>
        </w:rPr>
        <w:t> </w:t>
      </w:r>
      <w:hyperlink r:id="rId14" w:anchor="c1" w:history="1">
        <w:r>
          <w:rPr>
            <w:rStyle w:val="Hyperlink"/>
            <w:color w:val="000000"/>
          </w:rPr>
          <w:t>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or an</w:t>
      </w:r>
      <w:r>
        <w:rPr>
          <w:rStyle w:val="apple-converted-space"/>
          <w:color w:val="000000"/>
        </w:rPr>
        <w:t> </w:t>
      </w:r>
      <w:hyperlink r:id="rId15" w:anchor="c1" w:history="1">
        <w:r>
          <w:rPr>
            <w:rStyle w:val="Hyperlink"/>
            <w:color w:val="000000"/>
          </w:rPr>
          <w:t>AND gate</w:t>
        </w:r>
      </w:hyperlink>
      <w:r>
        <w:rPr>
          <w:color w:val="000000"/>
        </w:rPr>
        <w:t>. The non-inverting gates do not have this versatility since they can't produce an invert.</w:t>
      </w:r>
    </w:p>
    <w:p w14:paraId="7262A748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4. NOR Gate</w:t>
      </w:r>
    </w:p>
    <w:p w14:paraId="4DB8694B" w14:textId="77777777" w:rsidR="006B3BF4" w:rsidRDefault="006B3BF4" w:rsidP="006B3BF4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output is high only when neither A nor B is high. That is, it is normally high but any kind of non-zero input will take it low.</w:t>
      </w:r>
    </w:p>
    <w:p w14:paraId="36AC5111" w14:textId="1CA744DC" w:rsidR="006B3BF4" w:rsidRDefault="006B3BF4" w:rsidP="006B3BF4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083EF5F" wp14:editId="7EB263B0">
            <wp:extent cx="2156460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C575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</w:rPr>
        <w:t>5</w:t>
      </w:r>
      <w:r>
        <w:rPr>
          <w:bCs w:val="0"/>
          <w:color w:val="000000"/>
          <w:sz w:val="24"/>
          <w:szCs w:val="24"/>
        </w:rPr>
        <w:t>. Exclusive OR Gate</w:t>
      </w:r>
    </w:p>
    <w:p w14:paraId="4AD9C988" w14:textId="77777777" w:rsidR="006B3BF4" w:rsidRDefault="006B3BF4" w:rsidP="006B3BF4">
      <w:pPr>
        <w:pStyle w:val="Heading1"/>
        <w:rPr>
          <w:b w:val="0"/>
          <w:bCs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output is high when either of inputs A or B is high, but not if both A and B are high.</w:t>
      </w:r>
    </w:p>
    <w:p w14:paraId="201550CF" w14:textId="2381FF1B" w:rsidR="006B3BF4" w:rsidRDefault="006B3BF4" w:rsidP="006B3BF4">
      <w:pPr>
        <w:pStyle w:val="Heading1"/>
        <w:jc w:val="center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2082ED2D" wp14:editId="287ECCC2">
            <wp:extent cx="215646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C5FA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6. XNOR Gate</w:t>
      </w:r>
    </w:p>
    <w:p w14:paraId="13BCEB2E" w14:textId="77777777" w:rsidR="006B3BF4" w:rsidRDefault="006B3BF4" w:rsidP="006B3BF4">
      <w:pPr>
        <w:pStyle w:val="Heading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output is high when both inputs A and B are high and when neither A nor B is high.</w:t>
      </w:r>
    </w:p>
    <w:p w14:paraId="5196F1CB" w14:textId="525146B4" w:rsidR="006B3BF4" w:rsidRDefault="006B3BF4" w:rsidP="006B3BF4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9D18CC5" wp14:editId="2021F8C4">
            <wp:extent cx="2042160" cy="73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C76C" w14:textId="77777777" w:rsidR="006B3BF4" w:rsidRDefault="006B3BF4" w:rsidP="006B3BF4">
      <w:pPr>
        <w:pStyle w:val="NormalWeb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</w:rPr>
        <w:t>The NOR gate and the</w:t>
      </w:r>
      <w:r>
        <w:rPr>
          <w:rStyle w:val="apple-converted-space"/>
          <w:color w:val="000000"/>
        </w:rPr>
        <w:t> </w:t>
      </w:r>
      <w:hyperlink r:id="rId19" w:anchor="c1" w:history="1">
        <w:r>
          <w:rPr>
            <w:rStyle w:val="Hyperlink"/>
            <w:color w:val="000000"/>
          </w:rPr>
          <w:t>NAND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can be said to be universal gates since</w:t>
      </w:r>
      <w:r>
        <w:rPr>
          <w:rStyle w:val="apple-converted-space"/>
          <w:color w:val="000000"/>
        </w:rPr>
        <w:t> </w:t>
      </w:r>
      <w:hyperlink r:id="rId20" w:anchor="c2" w:history="1">
        <w:r>
          <w:rPr>
            <w:rStyle w:val="Hyperlink"/>
            <w:color w:val="000000"/>
          </w:rPr>
          <w:t>combinations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of them can be used to accomplish any of the</w:t>
      </w:r>
      <w:r>
        <w:rPr>
          <w:rStyle w:val="apple-converted-space"/>
          <w:color w:val="000000"/>
        </w:rPr>
        <w:t> </w:t>
      </w:r>
      <w:hyperlink r:id="rId21" w:anchor="c1" w:history="1">
        <w:r>
          <w:rPr>
            <w:rStyle w:val="Hyperlink"/>
            <w:color w:val="000000"/>
          </w:rPr>
          <w:t>basic operations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and can thus produce an</w:t>
      </w:r>
      <w:r>
        <w:rPr>
          <w:rStyle w:val="apple-converted-space"/>
          <w:color w:val="000000"/>
        </w:rPr>
        <w:t> </w:t>
      </w:r>
      <w:hyperlink r:id="rId22" w:anchor="c3" w:history="1">
        <w:r>
          <w:rPr>
            <w:rStyle w:val="Hyperlink"/>
            <w:color w:val="000000"/>
          </w:rPr>
          <w:t>inverter</w:t>
        </w:r>
      </w:hyperlink>
      <w:r>
        <w:rPr>
          <w:color w:val="000000"/>
        </w:rPr>
        <w:t>, an</w:t>
      </w:r>
      <w:r>
        <w:rPr>
          <w:rStyle w:val="apple-converted-space"/>
          <w:color w:val="000000"/>
        </w:rPr>
        <w:t> </w:t>
      </w:r>
      <w:hyperlink r:id="rId23" w:anchor="c1" w:history="1">
        <w:r>
          <w:rPr>
            <w:rStyle w:val="Hyperlink"/>
            <w:color w:val="000000"/>
          </w:rPr>
          <w:t>OR gate</w:t>
        </w:r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or an</w:t>
      </w:r>
      <w:r>
        <w:rPr>
          <w:rStyle w:val="apple-converted-space"/>
          <w:color w:val="000000"/>
        </w:rPr>
        <w:t> </w:t>
      </w:r>
      <w:hyperlink r:id="rId24" w:anchor="c1" w:history="1">
        <w:r>
          <w:rPr>
            <w:rStyle w:val="Hyperlink"/>
            <w:color w:val="000000"/>
          </w:rPr>
          <w:t>AND gate</w:t>
        </w:r>
      </w:hyperlink>
      <w:r>
        <w:rPr>
          <w:color w:val="000000"/>
        </w:rPr>
        <w:t>. The non-inverting gates do not have this versatility since they can't produce an invert</w:t>
      </w:r>
    </w:p>
    <w:p w14:paraId="32DD496F" w14:textId="77777777" w:rsidR="006B3BF4" w:rsidRDefault="006B3BF4" w:rsidP="006B3BF4">
      <w:pPr>
        <w:pStyle w:val="Heading1"/>
        <w:rPr>
          <w:bCs w:val="0"/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lastRenderedPageBreak/>
        <w:t>7. NOT gate (Inverting Buffer)</w:t>
      </w:r>
    </w:p>
    <w:p w14:paraId="6E5700F0" w14:textId="744D499C" w:rsidR="006B3BF4" w:rsidRDefault="006B3BF4" w:rsidP="006B3BF4">
      <w:pPr>
        <w:pStyle w:val="Heading1"/>
        <w:jc w:val="center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57124EF6" wp14:editId="7A46418A">
            <wp:extent cx="215646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DA52" w14:textId="77777777" w:rsidR="006B3BF4" w:rsidRDefault="006B3BF4" w:rsidP="006B3BF4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The inverting buffer is a single-input device which produces the state opposite the input. If the input is high, the output is low and vice </w:t>
      </w:r>
      <w:proofErr w:type="spellStart"/>
      <w:proofErr w:type="gramStart"/>
      <w:r>
        <w:rPr>
          <w:color w:val="000000"/>
        </w:rPr>
        <w:t>versa.This</w:t>
      </w:r>
      <w:proofErr w:type="spellEnd"/>
      <w:proofErr w:type="gramEnd"/>
      <w:r>
        <w:rPr>
          <w:color w:val="000000"/>
        </w:rPr>
        <w:t xml:space="preserve"> device is commonly referred to as just an inverter or NOT gate.</w:t>
      </w:r>
    </w:p>
    <w:p w14:paraId="19833B42" w14:textId="77777777" w:rsidR="006B3BF4" w:rsidRDefault="006B3BF4" w:rsidP="006B3BF4">
      <w:pPr>
        <w:pStyle w:val="Heading1"/>
        <w:rPr>
          <w:color w:val="000000"/>
          <w:sz w:val="24"/>
          <w:szCs w:val="24"/>
        </w:rPr>
      </w:pPr>
      <w:r>
        <w:rPr>
          <w:bCs w:val="0"/>
          <w:color w:val="000000"/>
          <w:sz w:val="24"/>
          <w:szCs w:val="24"/>
        </w:rPr>
        <w:t>8.</w:t>
      </w:r>
      <w:r>
        <w:rPr>
          <w:rStyle w:val="apple-converted-space"/>
          <w:bCs w:val="0"/>
          <w:color w:val="000000"/>
        </w:rPr>
        <w:t> </w:t>
      </w:r>
      <w:r>
        <w:rPr>
          <w:color w:val="000000"/>
          <w:sz w:val="24"/>
          <w:szCs w:val="24"/>
        </w:rPr>
        <w:t>HALF ADDER</w:t>
      </w:r>
    </w:p>
    <w:p w14:paraId="5A8500AE" w14:textId="7BD5EF18" w:rsidR="006B3BF4" w:rsidRDefault="006B3BF4" w:rsidP="006B3BF4">
      <w:pPr>
        <w:pStyle w:val="Heading1"/>
        <w:jc w:val="center"/>
        <w:rPr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746C14B2" wp14:editId="798B9B68">
            <wp:extent cx="3649980" cy="2514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0BC5" w14:textId="77777777" w:rsidR="006B3BF4" w:rsidRDefault="006B3BF4" w:rsidP="006B3BF4"/>
    <w:tbl>
      <w:tblPr>
        <w:tblpPr w:leftFromText="180" w:rightFromText="180" w:vertAnchor="text" w:tblpX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35"/>
        <w:gridCol w:w="763"/>
        <w:gridCol w:w="763"/>
      </w:tblGrid>
      <w:tr w:rsidR="006B3BF4" w14:paraId="5D151DC1" w14:textId="77777777" w:rsidTr="006B3BF4">
        <w:trPr>
          <w:trHeight w:val="322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86860" w14:textId="77777777" w:rsidR="006B3BF4" w:rsidRDefault="006B3BF4">
            <w:pPr>
              <w:jc w:val="center"/>
            </w:pPr>
            <w:r>
              <w:t>X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C41" w14:textId="77777777" w:rsidR="006B3BF4" w:rsidRDefault="006B3BF4">
            <w:pPr>
              <w:jc w:val="center"/>
            </w:pPr>
            <w:r>
              <w:t>Y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77FC" w14:textId="77777777" w:rsidR="006B3BF4" w:rsidRDefault="006B3BF4">
            <w:pPr>
              <w:jc w:val="center"/>
            </w:pPr>
            <w:r>
              <w:t>Sum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5FE99" w14:textId="77777777" w:rsidR="006B3BF4" w:rsidRDefault="006B3BF4">
            <w:pPr>
              <w:jc w:val="center"/>
            </w:pPr>
            <w:r>
              <w:t>Carry</w:t>
            </w:r>
          </w:p>
        </w:tc>
      </w:tr>
      <w:tr w:rsidR="006B3BF4" w14:paraId="38D562E9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35DCB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DEB4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94CD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6E97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697A54E6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04621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56C0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FD9D9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01FE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0BFF2DA4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DD6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E786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FEC7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D444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526AF5DC" w14:textId="77777777" w:rsidTr="006B3BF4">
        <w:trPr>
          <w:trHeight w:val="30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6A67F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3FA2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2077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3D4F" w14:textId="77777777" w:rsidR="006B3BF4" w:rsidRDefault="006B3BF4">
            <w:pPr>
              <w:jc w:val="center"/>
            </w:pPr>
            <w:r>
              <w:t>1</w:t>
            </w:r>
          </w:p>
        </w:tc>
      </w:tr>
    </w:tbl>
    <w:p w14:paraId="6C66E3EB" w14:textId="77777777" w:rsidR="006B3BF4" w:rsidRDefault="006B3BF4" w:rsidP="006B3BF4">
      <w:pPr>
        <w:pStyle w:val="Heading1"/>
        <w:rPr>
          <w:b w:val="0"/>
          <w:bCs w:val="0"/>
          <w:color w:val="000000"/>
        </w:rPr>
      </w:pPr>
    </w:p>
    <w:p w14:paraId="424296E5" w14:textId="77777777" w:rsidR="006B3BF4" w:rsidRDefault="006B3BF4" w:rsidP="006B3BF4">
      <w:pPr>
        <w:pStyle w:val="Heading1"/>
        <w:jc w:val="center"/>
        <w:rPr>
          <w:color w:val="000000"/>
        </w:rPr>
      </w:pPr>
    </w:p>
    <w:p w14:paraId="0FA3B805" w14:textId="77777777" w:rsidR="006B3BF4" w:rsidRDefault="006B3BF4" w:rsidP="006B3BF4">
      <w:pPr>
        <w:pStyle w:val="Heading1"/>
        <w:jc w:val="center"/>
        <w:rPr>
          <w:color w:val="000000"/>
          <w:sz w:val="24"/>
          <w:szCs w:val="24"/>
        </w:rPr>
      </w:pPr>
    </w:p>
    <w:p w14:paraId="16D74FB7" w14:textId="77777777" w:rsidR="006B3BF4" w:rsidRDefault="006B3BF4" w:rsidP="006B3BF4">
      <w:pPr>
        <w:pStyle w:val="NormalWeb"/>
        <w:rPr>
          <w:color w:val="000000"/>
          <w:sz w:val="27"/>
          <w:szCs w:val="27"/>
        </w:rPr>
      </w:pPr>
    </w:p>
    <w:p w14:paraId="5D19E649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 xml:space="preserve">A Combinational circuit that perform the arithmetic addition of two bits is </w:t>
      </w:r>
      <w:proofErr w:type="spellStart"/>
      <w:r>
        <w:rPr>
          <w:color w:val="000000"/>
        </w:rPr>
        <w:t>calld</w:t>
      </w:r>
      <w:proofErr w:type="spellEnd"/>
      <w:r>
        <w:rPr>
          <w:color w:val="000000"/>
        </w:rPr>
        <w:t xml:space="preserve"> half adder.in figure we assign two symbol X and Y are two input variables and S(sum) and C(carry) are two output </w:t>
      </w:r>
      <w:proofErr w:type="spellStart"/>
      <w:proofErr w:type="gramStart"/>
      <w:r>
        <w:rPr>
          <w:color w:val="000000"/>
        </w:rPr>
        <w:t>variables.truth</w:t>
      </w:r>
      <w:proofErr w:type="spellEnd"/>
      <w:proofErr w:type="gramEnd"/>
      <w:r>
        <w:rPr>
          <w:color w:val="000000"/>
        </w:rPr>
        <w:t xml:space="preserve"> table for half adder is shown in fig.</w:t>
      </w:r>
    </w:p>
    <w:p w14:paraId="45A4714F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Here S=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</w:p>
    <w:p w14:paraId="509BC807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        C= X Y   </w:t>
      </w:r>
    </w:p>
    <w:p w14:paraId="035596B4" w14:textId="77777777" w:rsidR="006B3BF4" w:rsidRDefault="006B3BF4" w:rsidP="006B3BF4">
      <w:pPr>
        <w:rPr>
          <w:color w:val="000000"/>
        </w:rPr>
      </w:pPr>
    </w:p>
    <w:p w14:paraId="058328EC" w14:textId="77777777" w:rsidR="006B3BF4" w:rsidRDefault="006B3BF4" w:rsidP="006B3BF4">
      <w:pPr>
        <w:rPr>
          <w:color w:val="000000"/>
        </w:rPr>
      </w:pPr>
    </w:p>
    <w:p w14:paraId="13C59BB0" w14:textId="77777777" w:rsidR="006B3BF4" w:rsidRDefault="006B3BF4" w:rsidP="006B3BF4">
      <w:pPr>
        <w:rPr>
          <w:color w:val="000000"/>
        </w:rPr>
      </w:pPr>
    </w:p>
    <w:p w14:paraId="1EF25A06" w14:textId="77777777" w:rsidR="006B3BF4" w:rsidRDefault="006B3BF4" w:rsidP="006B3BF4">
      <w:pPr>
        <w:rPr>
          <w:color w:val="000000"/>
        </w:rPr>
      </w:pPr>
    </w:p>
    <w:p w14:paraId="52745CAA" w14:textId="77777777" w:rsidR="006B3BF4" w:rsidRDefault="006B3BF4" w:rsidP="006B3BF4">
      <w:pPr>
        <w:rPr>
          <w:color w:val="000000"/>
        </w:rPr>
      </w:pPr>
    </w:p>
    <w:p w14:paraId="5513C058" w14:textId="77777777" w:rsidR="006B3BF4" w:rsidRDefault="006B3BF4" w:rsidP="006B3BF4">
      <w:pPr>
        <w:rPr>
          <w:b/>
          <w:sz w:val="32"/>
          <w:szCs w:val="32"/>
        </w:rPr>
      </w:pPr>
    </w:p>
    <w:p w14:paraId="332023E2" w14:textId="77777777" w:rsidR="006B3BF4" w:rsidRDefault="006B3BF4" w:rsidP="006B3BF4">
      <w:pPr>
        <w:rPr>
          <w:b/>
          <w:color w:val="000000"/>
        </w:rPr>
      </w:pPr>
    </w:p>
    <w:p w14:paraId="71C6E0F5" w14:textId="37397A93" w:rsidR="006B3BF4" w:rsidRDefault="006B3BF4" w:rsidP="006B3BF4">
      <w:pPr>
        <w:rPr>
          <w:b/>
          <w:color w:val="000000"/>
        </w:rPr>
      </w:pPr>
      <w:r>
        <w:rPr>
          <w:b/>
          <w:color w:val="000000"/>
        </w:rPr>
        <w:lastRenderedPageBreak/>
        <w:t>9.HALF SUBTRACTOR</w:t>
      </w:r>
    </w:p>
    <w:p w14:paraId="75B113E8" w14:textId="4F9F5794" w:rsidR="006B3BF4" w:rsidRDefault="006B3BF4" w:rsidP="006B3BF4">
      <w:pPr>
        <w:jc w:val="center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drawing>
          <wp:inline distT="0" distB="0" distL="0" distR="0" wp14:anchorId="7162EEFE" wp14:editId="0548A99B">
            <wp:extent cx="383286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35"/>
        <w:gridCol w:w="763"/>
        <w:gridCol w:w="950"/>
      </w:tblGrid>
      <w:tr w:rsidR="006B3BF4" w14:paraId="32B904D6" w14:textId="77777777" w:rsidTr="006B3BF4">
        <w:trPr>
          <w:trHeight w:val="322"/>
          <w:jc w:val="center"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5A3B1" w14:textId="77777777" w:rsidR="006B3BF4" w:rsidRDefault="006B3BF4">
            <w:pPr>
              <w:jc w:val="center"/>
            </w:pPr>
            <w:r>
              <w:t>X</w:t>
            </w:r>
          </w:p>
        </w:tc>
        <w:tc>
          <w:tcPr>
            <w:tcW w:w="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933E" w14:textId="77777777" w:rsidR="006B3BF4" w:rsidRDefault="006B3BF4">
            <w:pPr>
              <w:jc w:val="center"/>
            </w:pPr>
            <w:r>
              <w:t>Y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E9879" w14:textId="77777777" w:rsidR="006B3BF4" w:rsidRDefault="006B3BF4">
            <w:pPr>
              <w:jc w:val="center"/>
            </w:pPr>
            <w:r>
              <w:t>Diff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49D3" w14:textId="77777777" w:rsidR="006B3BF4" w:rsidRDefault="006B3BF4">
            <w:pPr>
              <w:jc w:val="center"/>
            </w:pPr>
            <w:r>
              <w:t>Borrow</w:t>
            </w:r>
          </w:p>
        </w:tc>
      </w:tr>
      <w:tr w:rsidR="006B3BF4" w14:paraId="1BD73187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4FC5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2418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55301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4699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357622EE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C8A2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4B85C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15C2A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A0AF" w14:textId="77777777" w:rsidR="006B3BF4" w:rsidRDefault="006B3BF4">
            <w:pPr>
              <w:jc w:val="center"/>
            </w:pPr>
            <w:r>
              <w:t>1</w:t>
            </w:r>
          </w:p>
        </w:tc>
      </w:tr>
      <w:tr w:rsidR="006B3BF4" w14:paraId="4DB5E6B8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6D7A2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B2D28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2010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D90F" w14:textId="77777777" w:rsidR="006B3BF4" w:rsidRDefault="006B3BF4">
            <w:pPr>
              <w:jc w:val="center"/>
            </w:pPr>
            <w:r>
              <w:t>0</w:t>
            </w:r>
          </w:p>
        </w:tc>
      </w:tr>
      <w:tr w:rsidR="006B3BF4" w14:paraId="19BB81F7" w14:textId="77777777" w:rsidTr="006B3BF4">
        <w:trPr>
          <w:trHeight w:val="305"/>
          <w:jc w:val="center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0B9E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8004" w14:textId="77777777" w:rsidR="006B3BF4" w:rsidRDefault="006B3BF4">
            <w:pPr>
              <w:jc w:val="center"/>
            </w:pPr>
            <w: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0E92" w14:textId="77777777" w:rsidR="006B3BF4" w:rsidRDefault="006B3BF4">
            <w:pPr>
              <w:jc w:val="center"/>
            </w:pPr>
            <w: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6A6D9" w14:textId="77777777" w:rsidR="006B3BF4" w:rsidRDefault="006B3BF4">
            <w:pPr>
              <w:jc w:val="center"/>
            </w:pPr>
            <w:r>
              <w:t>0</w:t>
            </w:r>
          </w:p>
        </w:tc>
      </w:tr>
    </w:tbl>
    <w:p w14:paraId="49759DDF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 xml:space="preserve">A Combinational circuit that perform the arithmetic subtraction of two bits is </w:t>
      </w:r>
      <w:proofErr w:type="spellStart"/>
      <w:r>
        <w:rPr>
          <w:color w:val="000000"/>
        </w:rPr>
        <w:t>calld</w:t>
      </w:r>
      <w:proofErr w:type="spellEnd"/>
      <w:r>
        <w:rPr>
          <w:color w:val="000000"/>
        </w:rPr>
        <w:t xml:space="preserve"> half subtractor.in figure we assign two symbol X and Y are two input variables and Diff.(D) and Borrow(B) are two output </w:t>
      </w:r>
      <w:proofErr w:type="spellStart"/>
      <w:proofErr w:type="gramStart"/>
      <w:r>
        <w:rPr>
          <w:color w:val="000000"/>
        </w:rPr>
        <w:t>variables.truth</w:t>
      </w:r>
      <w:proofErr w:type="spellEnd"/>
      <w:proofErr w:type="gramEnd"/>
      <w:r>
        <w:rPr>
          <w:color w:val="000000"/>
        </w:rPr>
        <w:t xml:space="preserve"> table for half Subtractor is shown in fig.</w:t>
      </w:r>
    </w:p>
    <w:p w14:paraId="4036563E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Here D= X </w:t>
      </w:r>
      <w:r>
        <w:rPr>
          <w:rFonts w:ascii="Cambria Math" w:hAnsi="Cambria Math" w:cs="Cambria Math"/>
          <w:color w:val="222222"/>
          <w:shd w:val="clear" w:color="auto" w:fill="FFFFFF"/>
        </w:rPr>
        <w:t>⊕</w:t>
      </w:r>
      <w:r>
        <w:rPr>
          <w:color w:val="000000"/>
        </w:rPr>
        <w:t> Y</w:t>
      </w:r>
    </w:p>
    <w:p w14:paraId="7F976761" w14:textId="77777777" w:rsidR="006B3BF4" w:rsidRDefault="006B3BF4" w:rsidP="006B3BF4">
      <w:pPr>
        <w:rPr>
          <w:color w:val="000000"/>
        </w:rPr>
      </w:pPr>
      <w:r>
        <w:rPr>
          <w:color w:val="000000"/>
        </w:rPr>
        <w:t>         B= X ‘Y </w:t>
      </w:r>
    </w:p>
    <w:p w14:paraId="6E65F2CA" w14:textId="77777777" w:rsidR="006B3BF4" w:rsidRDefault="006B3BF4" w:rsidP="006B3BF4">
      <w:pPr>
        <w:rPr>
          <w:b/>
          <w:color w:val="000000"/>
        </w:rPr>
      </w:pPr>
    </w:p>
    <w:p w14:paraId="582027A4" w14:textId="77777777" w:rsidR="006B3BF4" w:rsidRDefault="006B3BF4" w:rsidP="006B3BF4">
      <w:pPr>
        <w:rPr>
          <w:b/>
          <w:color w:val="000000"/>
        </w:rPr>
      </w:pPr>
      <w:r>
        <w:rPr>
          <w:b/>
          <w:color w:val="000000"/>
        </w:rPr>
        <w:t>10.Full Adder</w:t>
      </w:r>
    </w:p>
    <w:p w14:paraId="649DACF2" w14:textId="77777777" w:rsidR="006B3BF4" w:rsidRDefault="006B3BF4" w:rsidP="006B3BF4">
      <w:pPr>
        <w:rPr>
          <w:b/>
          <w:color w:val="000000"/>
          <w:sz w:val="29"/>
          <w:szCs w:val="29"/>
        </w:rPr>
      </w:pPr>
      <w:r>
        <w:rPr>
          <w:b/>
          <w:color w:val="000000"/>
        </w:rPr>
        <w:t>Truth Table</w:t>
      </w:r>
      <w:r>
        <w:rPr>
          <w:b/>
          <w:color w:val="000000"/>
          <w:sz w:val="29"/>
          <w:szCs w:val="29"/>
        </w:rPr>
        <w:t>:</w:t>
      </w:r>
    </w:p>
    <w:tbl>
      <w:tblPr>
        <w:tblpPr w:leftFromText="180" w:rightFromText="180" w:vertAnchor="text" w:horzAnchor="margin" w:tblpXSpec="center" w:tblpY="140"/>
        <w:tblW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567"/>
      </w:tblGrid>
      <w:tr w:rsidR="006B3BF4" w14:paraId="3ADA8504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0AF1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8DE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3A540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74E2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406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6B3BF4" w14:paraId="7E28EDB7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C81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2EAB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0A6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3EE48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93592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591F67D4" w14:textId="77777777" w:rsidTr="006B3BF4">
        <w:trPr>
          <w:trHeight w:val="11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470D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A404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0988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F88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3C37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47505162" w14:textId="77777777" w:rsidTr="006B3BF4">
        <w:trPr>
          <w:trHeight w:val="4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F0C8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16394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DCE4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C2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0C0C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1C43406D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F43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AE29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40FE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1EDB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BAE2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0162BD2B" w14:textId="77777777" w:rsidTr="006B3BF4">
        <w:trPr>
          <w:trHeight w:val="47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B64A5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FFFB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92B8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CB9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33FF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B3BF4" w14:paraId="3316F5B0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FD41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5C6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DF638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A68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036E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09DA8616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C3C81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D2FE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219A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0E2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9B5A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B3BF4" w14:paraId="4E45B569" w14:textId="77777777" w:rsidTr="006B3BF4">
        <w:trPr>
          <w:trHeight w:val="48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B93C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F1F6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B48ED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98EC7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4A99" w14:textId="77777777" w:rsidR="006B3BF4" w:rsidRDefault="006B3BF4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34D5136" w14:textId="77777777" w:rsidR="006B3BF4" w:rsidRDefault="006B3BF4" w:rsidP="006B3BF4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</w:p>
    <w:p w14:paraId="28317D2E" w14:textId="77777777" w:rsidR="006B3BF4" w:rsidRDefault="006B3BF4" w:rsidP="006B3BF4">
      <w:pPr>
        <w:rPr>
          <w:color w:val="000000"/>
          <w:sz w:val="29"/>
          <w:szCs w:val="29"/>
        </w:rPr>
      </w:pPr>
    </w:p>
    <w:p w14:paraId="0D9C0B28" w14:textId="77777777" w:rsidR="006B3BF4" w:rsidRDefault="006B3BF4" w:rsidP="006B3BF4">
      <w:pPr>
        <w:rPr>
          <w:color w:val="000000"/>
          <w:sz w:val="29"/>
          <w:szCs w:val="29"/>
        </w:rPr>
      </w:pPr>
    </w:p>
    <w:p w14:paraId="3664AEE9" w14:textId="77777777" w:rsidR="006B3BF4" w:rsidRDefault="006B3BF4" w:rsidP="006B3BF4">
      <w:pPr>
        <w:rPr>
          <w:color w:val="000000"/>
          <w:sz w:val="29"/>
          <w:szCs w:val="29"/>
        </w:rPr>
      </w:pPr>
    </w:p>
    <w:p w14:paraId="4F96EF05" w14:textId="77777777" w:rsidR="006B3BF4" w:rsidRDefault="006B3BF4" w:rsidP="006B3BF4">
      <w:pPr>
        <w:rPr>
          <w:color w:val="000000"/>
          <w:sz w:val="29"/>
          <w:szCs w:val="29"/>
        </w:rPr>
      </w:pPr>
    </w:p>
    <w:p w14:paraId="6C5C6C81" w14:textId="77777777" w:rsidR="006B3BF4" w:rsidRDefault="006B3BF4" w:rsidP="006B3BF4">
      <w:pPr>
        <w:rPr>
          <w:color w:val="000000"/>
          <w:sz w:val="29"/>
          <w:szCs w:val="29"/>
        </w:rPr>
      </w:pPr>
    </w:p>
    <w:p w14:paraId="30BB7AF7" w14:textId="77777777" w:rsidR="006B3BF4" w:rsidRDefault="006B3BF4" w:rsidP="006B3BF4">
      <w:pPr>
        <w:rPr>
          <w:color w:val="000000"/>
          <w:sz w:val="29"/>
          <w:szCs w:val="29"/>
        </w:rPr>
      </w:pPr>
    </w:p>
    <w:p w14:paraId="23691100" w14:textId="77777777" w:rsidR="006B3BF4" w:rsidRDefault="006B3BF4" w:rsidP="006B3BF4">
      <w:pPr>
        <w:rPr>
          <w:color w:val="000000"/>
          <w:sz w:val="29"/>
          <w:szCs w:val="29"/>
        </w:rPr>
      </w:pPr>
    </w:p>
    <w:p w14:paraId="10BDFA7B" w14:textId="77777777" w:rsidR="006B3BF4" w:rsidRDefault="006B3BF4" w:rsidP="006B3BF4">
      <w:pPr>
        <w:rPr>
          <w:color w:val="000000"/>
          <w:sz w:val="29"/>
          <w:szCs w:val="29"/>
        </w:rPr>
      </w:pPr>
    </w:p>
    <w:p w14:paraId="633EED1D" w14:textId="77777777" w:rsidR="006B3BF4" w:rsidRDefault="006B3BF4" w:rsidP="006B3BF4">
      <w:pPr>
        <w:rPr>
          <w:color w:val="000000"/>
          <w:sz w:val="29"/>
          <w:szCs w:val="29"/>
        </w:rPr>
      </w:pPr>
    </w:p>
    <w:p w14:paraId="001B66BA" w14:textId="0BD80CBE" w:rsidR="006B3BF4" w:rsidRDefault="006B3BF4" w:rsidP="006B3BF4">
      <w:pPr>
        <w:jc w:val="center"/>
        <w:rPr>
          <w:color w:val="000000"/>
          <w:sz w:val="29"/>
          <w:szCs w:val="29"/>
        </w:rPr>
      </w:pPr>
      <w:r>
        <w:rPr>
          <w:noProof/>
          <w:color w:val="000000"/>
          <w:sz w:val="29"/>
          <w:szCs w:val="29"/>
        </w:rPr>
        <w:lastRenderedPageBreak/>
        <w:drawing>
          <wp:inline distT="0" distB="0" distL="0" distR="0" wp14:anchorId="7B7769B3" wp14:editId="436B70ED">
            <wp:extent cx="52959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6FF2" w14:textId="77777777" w:rsidR="00B44F86" w:rsidRDefault="00A80FEE"/>
    <w:sectPr w:rsidR="00B44F86" w:rsidSect="006B3BF4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868E" w14:textId="77777777" w:rsidR="00A80FEE" w:rsidRDefault="00A80FEE" w:rsidP="006B3BF4">
      <w:r>
        <w:separator/>
      </w:r>
    </w:p>
  </w:endnote>
  <w:endnote w:type="continuationSeparator" w:id="0">
    <w:p w14:paraId="2374FADD" w14:textId="77777777" w:rsidR="00A80FEE" w:rsidRDefault="00A80FEE" w:rsidP="006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3B40" w14:textId="20364DC3" w:rsidR="006B3BF4" w:rsidRDefault="006B3BF4">
    <w:pPr>
      <w:pStyle w:val="Footer"/>
      <w:rPr>
        <w:lang w:val="en-IN"/>
      </w:rPr>
    </w:pPr>
    <w:r>
      <w:rPr>
        <w:lang w:val="en-IN"/>
      </w:rPr>
      <w:t>Student Name: Chirag Gami</w:t>
    </w:r>
  </w:p>
  <w:p w14:paraId="5E51F3B3" w14:textId="06F9C64F" w:rsidR="006B3BF4" w:rsidRPr="006B3BF4" w:rsidRDefault="006B3BF4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0CCB" w14:textId="77777777" w:rsidR="00A80FEE" w:rsidRDefault="00A80FEE" w:rsidP="006B3BF4">
      <w:r>
        <w:separator/>
      </w:r>
    </w:p>
  </w:footnote>
  <w:footnote w:type="continuationSeparator" w:id="0">
    <w:p w14:paraId="3D21D171" w14:textId="77777777" w:rsidR="00A80FEE" w:rsidRDefault="00A80FEE" w:rsidP="006B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E1C4" w14:textId="180F203B" w:rsidR="006B3BF4" w:rsidRPr="006B3BF4" w:rsidRDefault="006B3BF4">
    <w:pPr>
      <w:pStyle w:val="Header"/>
      <w:rPr>
        <w:lang w:val="en-IN"/>
      </w:rPr>
    </w:pPr>
    <w:r>
      <w:rPr>
        <w:lang w:val="en-IN"/>
      </w:rPr>
      <w:t xml:space="preserve">Practical-1                                                                  </w:t>
    </w:r>
    <w:r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3C"/>
    <w:rsid w:val="00037DB9"/>
    <w:rsid w:val="000B553C"/>
    <w:rsid w:val="006B3BF4"/>
    <w:rsid w:val="0091772E"/>
    <w:rsid w:val="00A8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294"/>
  <w15:chartTrackingRefBased/>
  <w15:docId w15:val="{A18691C4-51DF-4A33-8611-D9E4E81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hyperphysics.phy-astr.gsu.edu/hbase/electronic/buffer.html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hyperphysics.phy-astr.gsu.edu/hbase/electronic/diglog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hyperphysics.phy-astr.gsu.edu/hbase/electronic/diglog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hyperphysics.phy-astr.gsu.edu/hbase/electronic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yperphysics.phy-astr.gsu.edu/hbase/electronic/" TargetMode="External"/><Relationship Id="rId24" Type="http://schemas.openxmlformats.org/officeDocument/2006/relationships/hyperlink" Target="http://hyperphysics.phy-astr.gsu.edu/hbase/electronic/and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yperphysics.phy-astr.gsu.edu/hbase/electronic/and.html" TargetMode="External"/><Relationship Id="rId23" Type="http://schemas.openxmlformats.org/officeDocument/2006/relationships/hyperlink" Target="http://hyperphysics.phy-astr.gsu.edu/hbase/electronic/or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hyperphysics.phy-astr.gsu.edu/hbase/electronic/nor.html" TargetMode="External"/><Relationship Id="rId19" Type="http://schemas.openxmlformats.org/officeDocument/2006/relationships/hyperlink" Target="http://hyperphysics.phy-astr.gsu.edu/hbase/electronic/nan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hyperphysics.phy-astr.gsu.edu/hbase/electronic/or.html" TargetMode="External"/><Relationship Id="rId22" Type="http://schemas.openxmlformats.org/officeDocument/2006/relationships/hyperlink" Target="http://hyperphysics.phy-astr.gsu.edu/hbase/electronic/buffer.html" TargetMode="External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BC83-C304-48D3-9999-9B7F49C4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Gami</dc:creator>
  <cp:keywords/>
  <dc:description/>
  <cp:lastModifiedBy>Chirag Gami</cp:lastModifiedBy>
  <cp:revision>2</cp:revision>
  <dcterms:created xsi:type="dcterms:W3CDTF">2021-08-10T04:30:00Z</dcterms:created>
  <dcterms:modified xsi:type="dcterms:W3CDTF">2021-08-10T04:36:00Z</dcterms:modified>
</cp:coreProperties>
</file>