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F172A"/>
          <w:sz w:val="44"/>
        </w:rPr>
        <w:t>SENTIAL INTELLIGENCE PLATFORM</w:t>
      </w:r>
    </w:p>
    <w:p>
      <w:pPr>
        <w:spacing w:before="280" w:after="80"/>
      </w:pPr>
      <w:r>
        <w:rPr>
          <w:rFonts w:ascii="Arial" w:hAnsi="Arial"/>
          <w:b/>
          <w:color w:val="1E293B"/>
          <w:sz w:val="28"/>
        </w:rPr>
        <w:t>Executive Overview &amp; Client Demonstration Plan</w:t>
      </w:r>
    </w:p>
    <w:p>
      <w:pPr>
        <w:spacing w:before="40" w:after="80" w:line="276" w:lineRule="auto"/>
      </w:pPr>
      <w:r>
        <w:rPr>
          <w:rFonts w:ascii="Arial" w:hAnsi="Arial"/>
          <w:color w:val="1E293B"/>
          <w:sz w:val="19"/>
        </w:rPr>
      </w:r>
      <w:r>
        <w:rPr>
          <w:rFonts w:ascii="Arial" w:hAnsi="Arial"/>
          <w:b/>
          <w:color w:val="1E293B"/>
          <w:sz w:val="19"/>
        </w:rPr>
        <w:t>Document Reference:</w:t>
      </w:r>
      <w:r>
        <w:rPr>
          <w:rFonts w:ascii="Arial" w:hAnsi="Arial"/>
          <w:color w:val="1E293B"/>
          <w:sz w:val="19"/>
        </w:rPr>
        <w:t xml:space="preserve"> SNT-EXEC-2026-V1</w:t>
      </w:r>
    </w:p>
    <w:p>
      <w:pPr>
        <w:spacing w:before="40" w:after="80" w:line="276" w:lineRule="auto"/>
      </w:pPr>
      <w:r>
        <w:rPr>
          <w:rFonts w:ascii="Arial" w:hAnsi="Arial"/>
          <w:color w:val="1E293B"/>
          <w:sz w:val="19"/>
        </w:rPr>
      </w:r>
      <w:r>
        <w:rPr>
          <w:rFonts w:ascii="Arial" w:hAnsi="Arial"/>
          <w:b/>
          <w:color w:val="1E293B"/>
          <w:sz w:val="19"/>
        </w:rPr>
        <w:t>Target Platform:</w:t>
      </w:r>
      <w:r>
        <w:rPr>
          <w:rFonts w:ascii="Arial" w:hAnsi="Arial"/>
          <w:color w:val="1E293B"/>
          <w:sz w:val="19"/>
        </w:rPr>
        <w:t xml:space="preserve"> Sential Modular Intelligence &amp; Investigation Platform</w:t>
      </w:r>
    </w:p>
    <w:p>
      <w:pPr>
        <w:spacing w:before="40" w:after="80" w:line="276" w:lineRule="auto"/>
      </w:pPr>
      <w:r>
        <w:rPr>
          <w:rFonts w:ascii="Arial" w:hAnsi="Arial"/>
          <w:color w:val="1E293B"/>
          <w:sz w:val="19"/>
        </w:rPr>
      </w:r>
      <w:r>
        <w:rPr>
          <w:rFonts w:ascii="Arial" w:hAnsi="Arial"/>
          <w:b/>
          <w:color w:val="1E293B"/>
          <w:sz w:val="19"/>
        </w:rPr>
        <w:t>Document Type:</w:t>
      </w:r>
      <w:r>
        <w:rPr>
          <w:rFonts w:ascii="Arial" w:hAnsi="Arial"/>
          <w:color w:val="1E293B"/>
          <w:sz w:val="19"/>
        </w:rPr>
        <w:t xml:space="preserve"> Client Handover &amp; Demonstration Brief</w:t>
      </w:r>
    </w:p>
    <w:p>
      <w:pPr>
        <w:spacing w:before="40" w:after="80" w:line="276" w:lineRule="auto"/>
      </w:pPr>
      <w:r>
        <w:rPr>
          <w:rFonts w:ascii="Arial" w:hAnsi="Arial"/>
          <w:color w:val="1E293B"/>
          <w:sz w:val="19"/>
        </w:rPr>
      </w:r>
      <w:r>
        <w:rPr>
          <w:rFonts w:ascii="Arial" w:hAnsi="Arial"/>
          <w:b/>
          <w:color w:val="1E293B"/>
          <w:sz w:val="19"/>
        </w:rPr>
        <w:t>Intended Audience:</w:t>
      </w:r>
      <w:r>
        <w:rPr>
          <w:rFonts w:ascii="Arial" w:hAnsi="Arial"/>
          <w:color w:val="1E293B"/>
          <w:sz w:val="19"/>
        </w:rPr>
        <w:t xml:space="preserve"> Business Owners, Security Directors, Lead Investigators, and Project Managers</w:t>
      </w:r>
    </w:p>
    <w:p>
      <w:pPr>
        <w:spacing w:before="80" w:after="80"/>
      </w:pPr>
      <w:r>
        <w:rPr>
          <w:color w:val="CBD5E1"/>
          <w:sz w:val="16"/>
        </w:rPr>
        <w:t>―――――――――――――――――――――――――――――――――――――――――――――</w:t>
      </w:r>
    </w:p>
    <w:p>
      <w:pPr>
        <w:spacing w:before="280" w:after="80"/>
      </w:pPr>
      <w:r>
        <w:rPr>
          <w:rFonts w:ascii="Arial" w:hAnsi="Arial"/>
          <w:b/>
          <w:color w:val="1E293B"/>
          <w:sz w:val="28"/>
        </w:rPr>
        <w:t>1. Purpose of the Platform</w:t>
      </w:r>
    </w:p>
    <w:p>
      <w:pPr>
        <w:spacing w:before="40" w:after="80" w:line="276" w:lineRule="auto"/>
      </w:pPr>
      <w:r>
        <w:rPr>
          <w:rFonts w:ascii="Arial" w:hAnsi="Arial"/>
          <w:color w:val="1E293B"/>
          <w:sz w:val="19"/>
        </w:rPr>
        <w:t>In modern corporate security, fraud prevention, and investigative due diligence, teams face a constant challenge: relevant information is scattered across dozens of disconnected websites, public directories, news archives, and technical databases. Investigators spend hours copy-pasting links, taking manual screenshots, and trying to organize findings into spreadsheets. In the process, vital source links are lost, evidence can be disputed, and team members often duplicate each other's work.</w:t>
      </w:r>
    </w:p>
    <w:p>
      <w:pPr>
        <w:spacing w:before="40" w:after="80" w:line="276" w:lineRule="auto"/>
      </w:pPr>
      <w:r>
        <w:rPr>
          <w:rFonts w:ascii="Arial" w:hAnsi="Arial"/>
          <w:color w:val="1E293B"/>
          <w:sz w:val="19"/>
        </w:rPr>
        <w:t xml:space="preserve">The </w:t>
      </w:r>
      <w:r>
        <w:rPr>
          <w:rFonts w:ascii="Arial" w:hAnsi="Arial"/>
          <w:b/>
          <w:color w:val="1E293B"/>
          <w:sz w:val="19"/>
        </w:rPr>
        <w:t>Sential Intelligence Platform</w:t>
      </w:r>
      <w:r>
        <w:rPr>
          <w:rFonts w:ascii="Arial" w:hAnsi="Arial"/>
          <w:color w:val="1E293B"/>
          <w:sz w:val="19"/>
        </w:rPr>
        <w:t xml:space="preserve"> solves this by unifying public intelligence research into a single, organized investigation workspace.</w:t>
      </w:r>
    </w:p>
    <w:p>
      <w:pPr>
        <w:spacing w:before="40" w:after="80" w:line="276" w:lineRule="auto"/>
      </w:pPr>
      <w:r>
        <w:rPr>
          <w:rFonts w:ascii="Arial" w:hAnsi="Arial"/>
          <w:color w:val="1E293B"/>
          <w:sz w:val="19"/>
        </w:rPr>
        <w:t>Instead of jumping between disconnected search engines, analysts can enter a target—such as a corporate domain, organization name, web address, or digital identifier—and evaluate real-world findings in one place. Every piece of information is directly connected to its original public source, organized into a clear case file, and protected by digital evidence safeguards so your team can make informed decisions with speed and confidence.</w:t>
      </w:r>
    </w:p>
    <w:p>
      <w:pPr>
        <w:spacing w:before="80" w:after="80"/>
      </w:pPr>
      <w:r>
        <w:rPr>
          <w:color w:val="CBD5E1"/>
          <w:sz w:val="16"/>
        </w:rPr>
        <w:t>―――――――――――――――――――――――――――――――――――――――――――――</w:t>
      </w:r>
    </w:p>
    <w:p>
      <w:pPr>
        <w:spacing w:before="280" w:after="80"/>
      </w:pPr>
      <w:r>
        <w:rPr>
          <w:rFonts w:ascii="Arial" w:hAnsi="Arial"/>
          <w:b/>
          <w:color w:val="1E293B"/>
          <w:sz w:val="28"/>
        </w:rPr>
        <w:t>2. What Your Team Can Achieve</w:t>
      </w:r>
    </w:p>
    <w:p>
      <w:pPr>
        <w:spacing w:before="40" w:after="80" w:line="276" w:lineRule="auto"/>
      </w:pPr>
      <w:r>
        <w:rPr>
          <w:rFonts w:ascii="Arial" w:hAnsi="Arial"/>
          <w:color w:val="1E293B"/>
          <w:sz w:val="19"/>
        </w:rPr>
        <w:t>The platform provides a practical, investigator-first environment that supports real daily workflows:</w:t>
      </w:r>
    </w:p>
    <w:p>
      <w:pPr>
        <w:pStyle w:val="ListBullet"/>
        <w:spacing w:before="30" w:after="30"/>
      </w:pPr>
      <w:r>
        <w:rPr>
          <w:rFonts w:ascii="Arial" w:hAnsi="Arial"/>
          <w:sz w:val="19"/>
        </w:rPr>
      </w:r>
      <w:r>
        <w:rPr>
          <w:rFonts w:ascii="Arial" w:hAnsi="Arial"/>
          <w:b/>
          <w:sz w:val="19"/>
        </w:rPr>
        <w:t>Search Across Multiple Intelligence Sources Simultaneously:</w:t>
      </w:r>
      <w:r>
        <w:rPr>
          <w:rFonts w:ascii="Arial" w:hAnsi="Arial"/>
          <w:sz w:val="19"/>
        </w:rPr>
        <w:t xml:space="preserve"> Submit a target once and query public business filings, technical infrastructure records, web archive history, security indicators, and global news feeds in parallel.</w:t>
      </w:r>
    </w:p>
    <w:p>
      <w:pPr>
        <w:pStyle w:val="ListBullet"/>
        <w:spacing w:before="30" w:after="30"/>
      </w:pPr>
      <w:r>
        <w:rPr>
          <w:rFonts w:ascii="Arial" w:hAnsi="Arial"/>
          <w:sz w:val="19"/>
        </w:rPr>
      </w:r>
      <w:r>
        <w:rPr>
          <w:rFonts w:ascii="Arial" w:hAnsi="Arial"/>
          <w:b/>
          <w:sz w:val="19"/>
        </w:rPr>
        <w:t>Investigate Organizations, Domains, and Digital Identifiers:</w:t>
      </w:r>
      <w:r>
        <w:rPr>
          <w:rFonts w:ascii="Arial" w:hAnsi="Arial"/>
          <w:sz w:val="19"/>
        </w:rPr>
        <w:t xml:space="preserve"> Review authoritative company directories, industry classifications, official corporate identifiers, web server technologies, and public username presences across specialized platforms.</w:t>
      </w:r>
    </w:p>
    <w:p>
      <w:pPr>
        <w:pStyle w:val="ListBullet"/>
        <w:spacing w:before="30" w:after="30"/>
      </w:pPr>
      <w:r>
        <w:rPr>
          <w:rFonts w:ascii="Arial" w:hAnsi="Arial"/>
          <w:sz w:val="19"/>
        </w:rPr>
      </w:r>
      <w:r>
        <w:rPr>
          <w:rFonts w:ascii="Arial" w:hAnsi="Arial"/>
          <w:b/>
          <w:sz w:val="19"/>
        </w:rPr>
        <w:t>Corroborate News and Global Media:</w:t>
      </w:r>
      <w:r>
        <w:rPr>
          <w:rFonts w:ascii="Arial" w:hAnsi="Arial"/>
          <w:sz w:val="19"/>
        </w:rPr>
        <w:t xml:space="preserve"> Monitor multi-country news coverage and verify public statements against fact-checking archives to detect emerging risks or disinformation campaigns.</w:t>
      </w:r>
    </w:p>
    <w:p>
      <w:pPr>
        <w:pStyle w:val="ListBullet"/>
        <w:spacing w:before="30" w:after="30"/>
      </w:pPr>
      <w:r>
        <w:rPr>
          <w:rFonts w:ascii="Arial" w:hAnsi="Arial"/>
          <w:sz w:val="19"/>
        </w:rPr>
      </w:r>
      <w:r>
        <w:rPr>
          <w:rFonts w:ascii="Arial" w:hAnsi="Arial"/>
          <w:b/>
          <w:sz w:val="19"/>
        </w:rPr>
        <w:t>Identify and Understand Connections:</w:t>
      </w:r>
      <w:r>
        <w:rPr>
          <w:rFonts w:ascii="Arial" w:hAnsi="Arial"/>
          <w:sz w:val="19"/>
        </w:rPr>
        <w:t xml:space="preserve"> Automatically detect relationships between people, companies, domain names, and technical infrastructure, displaying them in an interactive connection map.</w:t>
      </w:r>
    </w:p>
    <w:p>
      <w:pPr>
        <w:pStyle w:val="ListBullet"/>
        <w:spacing w:before="30" w:after="30"/>
      </w:pPr>
      <w:r>
        <w:rPr>
          <w:rFonts w:ascii="Arial" w:hAnsi="Arial"/>
          <w:sz w:val="19"/>
        </w:rPr>
      </w:r>
      <w:r>
        <w:rPr>
          <w:rFonts w:ascii="Arial" w:hAnsi="Arial"/>
          <w:b/>
          <w:sz w:val="19"/>
        </w:rPr>
        <w:t>Organize Findings into Investigation Cases:</w:t>
      </w:r>
      <w:r>
        <w:rPr>
          <w:rFonts w:ascii="Arial" w:hAnsi="Arial"/>
          <w:sz w:val="19"/>
        </w:rPr>
        <w:t xml:space="preserve"> Group loose search findings, notes, and leads into structured case files with assigned priorities, categories, and tracking statuses.</w:t>
      </w:r>
    </w:p>
    <w:p>
      <w:pPr>
        <w:pStyle w:val="ListBullet"/>
        <w:spacing w:before="30" w:after="30"/>
      </w:pPr>
      <w:r>
        <w:rPr>
          <w:rFonts w:ascii="Arial" w:hAnsi="Arial"/>
          <w:sz w:val="19"/>
        </w:rPr>
      </w:r>
      <w:r>
        <w:rPr>
          <w:rFonts w:ascii="Arial" w:hAnsi="Arial"/>
          <w:b/>
          <w:sz w:val="19"/>
        </w:rPr>
        <w:t>Preserve Evidence with Tamper-Evident Safeguards:</w:t>
      </w:r>
      <w:r>
        <w:rPr>
          <w:rFonts w:ascii="Arial" w:hAnsi="Arial"/>
          <w:sz w:val="19"/>
        </w:rPr>
        <w:t xml:space="preserve"> Automatically record the original source web address, collection timestamp, and a mathematical digital fingerprint (SHA-256) for every piece of evidence, ensuring records cannot be altered unnoticed.</w:t>
      </w:r>
    </w:p>
    <w:p>
      <w:pPr>
        <w:pStyle w:val="ListBullet"/>
        <w:spacing w:before="30" w:after="30"/>
      </w:pPr>
      <w:r>
        <w:rPr>
          <w:rFonts w:ascii="Arial" w:hAnsi="Arial"/>
          <w:sz w:val="19"/>
        </w:rPr>
      </w:r>
      <w:r>
        <w:rPr>
          <w:rFonts w:ascii="Arial" w:hAnsi="Arial"/>
          <w:b/>
          <w:sz w:val="19"/>
        </w:rPr>
        <w:t>Generate Clear Case Summaries:</w:t>
      </w:r>
      <w:r>
        <w:rPr>
          <w:rFonts w:ascii="Arial" w:hAnsi="Arial"/>
          <w:sz w:val="19"/>
        </w:rPr>
        <w:t xml:space="preserve"> Compile findings, analyst observations, and evidence tables into concise executive dossiers ready for leadership review.</w:t>
      </w:r>
    </w:p>
    <w:p>
      <w:pPr>
        <w:spacing w:before="40" w:after="80" w:line="276" w:lineRule="auto"/>
      </w:pPr>
      <w:r>
        <w:rPr>
          <w:rFonts w:ascii="Arial" w:hAnsi="Arial"/>
          <w:color w:val="1E293B"/>
          <w:sz w:val="19"/>
        </w:rPr>
      </w:r>
      <w:r>
        <w:rPr>
          <w:rFonts w:ascii="Arial" w:hAnsi="Arial"/>
          <w:i/>
          <w:color w:val="1E293B"/>
          <w:sz w:val="19"/>
        </w:rPr>
        <w:t>Note: Sential queries authentic public databases and authorized external feeds. It does not fabricate findings, bypass login paywalls, or conduct unauthorized private network intrusions.</w:t>
      </w:r>
      <w:r>
        <w:rPr>
          <w:rFonts w:ascii="Arial" w:hAnsi="Arial"/>
          <w:color w:val="1E293B"/>
          <w:sz w:val="19"/>
        </w:rPr>
      </w:r>
    </w:p>
    <w:p>
      <w:pPr>
        <w:spacing w:before="80" w:after="80"/>
      </w:pPr>
      <w:r>
        <w:rPr>
          <w:color w:val="CBD5E1"/>
          <w:sz w:val="16"/>
        </w:rPr>
        <w:t>―――――――――――――――――――――――――――――――――――――――――――――</w:t>
      </w:r>
    </w:p>
    <w:p>
      <w:pPr>
        <w:spacing w:before="280" w:after="80"/>
      </w:pPr>
      <w:r>
        <w:rPr>
          <w:rFonts w:ascii="Arial" w:hAnsi="Arial"/>
          <w:b/>
          <w:color w:val="1E293B"/>
          <w:sz w:val="28"/>
        </w:rPr>
        <w:t>3. Who Will Use the Platform</w:t>
      </w:r>
    </w:p>
    <w:p>
      <w:pPr>
        <w:spacing w:before="40" w:after="80" w:line="276" w:lineRule="auto"/>
      </w:pPr>
      <w:r>
        <w:rPr>
          <w:rFonts w:ascii="Arial" w:hAnsi="Arial"/>
          <w:color w:val="1E293B"/>
          <w:sz w:val="19"/>
        </w:rPr>
        <w:t>The platform is built to support different roles across your organization without requiring software engineering expertise: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140" w:type="dxa"/>
              <w:bottom w:w="140" w:type="dxa"/>
              <w:left w:w="160" w:type="dxa"/>
              <w:right w:w="160" w:type="dxa"/>
            </w:tcMar>
          </w:tcPr>
          <w:p>
            <w:pPr>
              <w:spacing w:before="40" w:after="40"/>
            </w:pPr>
            <w:r>
              <w:rPr>
                <w:rFonts w:ascii="Arial" w:hAnsi="Arial"/>
                <w:b/>
                <w:color w:val="FFFFFF"/>
                <w:sz w:val="19"/>
              </w:rPr>
              <w:t>Role</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Operational Responsibility</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How the Platform Helps</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Expected Outcome</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Investigator</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Gathers facts on companies, individuals, domains, and suspicious activity</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Provides a fast search workspace that retrieves verified public records and source links with one click</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Fast, reliable leads backed by source links, saving hours of manual browsing</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Intelligence Analyst</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Connects disparate leads, evaluates threats, and assesses narrative credibility</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Provides visual relationship graphs, geographic mapping, and timeline correlation</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High-confidence intelligence assessments showing how entities connect</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Organization Administrator</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Manages team accounts, assigns access roles, and oversees department usage</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Provides a dedicated administrative console to invite analysts, set permissions, and review audit logs</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Secure, compliant team collaboration with strict protection of sensitive cases</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Platform Administrator</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Oversees system deployment, health monitoring, and external feed settings</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Offers a central management cockpit to monitor system status, configure API connections, and ensure reliability</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Stable uptime, secure configuration, and complete visibility across platform operations</w:t>
            </w:r>
          </w:p>
        </w:tc>
      </w:tr>
    </w:tbl>
    <w:p>
      <w:pPr>
        <w:spacing w:after="80"/>
      </w:pPr>
    </w:p>
    <w:p>
      <w:pPr>
        <w:spacing w:before="80" w:after="80"/>
      </w:pPr>
      <w:r>
        <w:rPr>
          <w:color w:val="CBD5E1"/>
          <w:sz w:val="16"/>
        </w:rPr>
        <w:t>―――――――――――――――――――――――――――――――――――――――――――――</w:t>
      </w:r>
    </w:p>
    <w:p>
      <w:pPr>
        <w:spacing w:before="280" w:after="80"/>
      </w:pPr>
      <w:r>
        <w:rPr>
          <w:rFonts w:ascii="Arial" w:hAnsi="Arial"/>
          <w:b/>
          <w:color w:val="1E293B"/>
          <w:sz w:val="28"/>
        </w:rPr>
        <w:t>4. Proposed Investigation Workflow</w:t>
      </w:r>
    </w:p>
    <w:p>
      <w:pPr>
        <w:spacing w:before="40" w:after="80" w:line="276" w:lineRule="auto"/>
      </w:pPr>
      <w:r>
        <w:rPr>
          <w:rFonts w:ascii="Arial" w:hAnsi="Arial"/>
          <w:color w:val="1E293B"/>
          <w:sz w:val="19"/>
        </w:rPr>
        <w:t>The platform follows a natural seven-step journey designed around how real investigations work:</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40" w:type="dxa"/>
              <w:right w:w="140" w:type="dxa"/>
            </w:tcMar>
          </w:tcPr>
          <w:p>
            <w:pPr>
              <w:spacing w:before="40" w:after="40"/>
            </w:pPr>
            <w:r>
              <w:rPr>
                <w:rFonts w:ascii="Courier New" w:hAnsi="Courier New"/>
                <w:color w:val="E2E8F0"/>
                <w:sz w:val="17"/>
              </w:rPr>
              <w:t>[ 1. Search Target ] ──────&gt; [ 2. Review Findings ] ──────&gt; [ 3. Check Sources ]</w:t>
              <w:br/>
              <w:t xml:space="preserve">         │                                                            │</w:t>
              <w:br/>
              <w:t xml:space="preserve">         ▼                                                            ▼</w:t>
              <w:br/>
              <w:t>[ 7. Generate Dossier ] &lt;──── [ 6. Preserve Evidence ] &lt;─── [ 5. Connect Entities ]</w:t>
              <w:br/>
              <w:t xml:space="preserve">         ▲                                                            │</w:t>
              <w:br/>
              <w:t xml:space="preserve">         └────────────────── [ 4. Build Case ] &lt;──────────────────────┘</w:t>
            </w:r>
          </w:p>
        </w:tc>
      </w:tr>
    </w:tbl>
    <w:p>
      <w:pPr>
        <w:spacing w:after="80"/>
      </w:pPr>
    </w:p>
    <w:p>
      <w:pPr>
        <w:pStyle w:val="ListNumber"/>
        <w:spacing w:before="30" w:after="30"/>
      </w:pPr>
      <w:r>
        <w:rPr>
          <w:rFonts w:ascii="Arial" w:hAnsi="Arial"/>
          <w:sz w:val="19"/>
        </w:rPr>
      </w:r>
      <w:r>
        <w:rPr>
          <w:rFonts w:ascii="Arial" w:hAnsi="Arial"/>
          <w:b/>
          <w:sz w:val="19"/>
        </w:rPr>
        <w:t>Target Entry:</w:t>
      </w:r>
      <w:r>
        <w:rPr>
          <w:rFonts w:ascii="Arial" w:hAnsi="Arial"/>
          <w:sz w:val="19"/>
        </w:rPr>
        <w:t xml:space="preserve"> The investigator enters a company, domain, IP address, or username into the search bar. The system automatically identifies the target type.</w:t>
      </w:r>
    </w:p>
    <w:p>
      <w:pPr>
        <w:pStyle w:val="ListNumber"/>
        <w:spacing w:before="30" w:after="30"/>
      </w:pPr>
      <w:r>
        <w:rPr>
          <w:rFonts w:ascii="Arial" w:hAnsi="Arial"/>
          <w:sz w:val="19"/>
        </w:rPr>
      </w:r>
      <w:r>
        <w:rPr>
          <w:rFonts w:ascii="Arial" w:hAnsi="Arial"/>
          <w:b/>
          <w:sz w:val="19"/>
        </w:rPr>
        <w:t>Review Findings:</w:t>
      </w:r>
      <w:r>
        <w:rPr>
          <w:rFonts w:ascii="Arial" w:hAnsi="Arial"/>
          <w:sz w:val="19"/>
        </w:rPr>
        <w:t xml:space="preserve"> The platform runs parallel queries across authorized intelligence sources and displays results categorized by topic.</w:t>
      </w:r>
    </w:p>
    <w:p>
      <w:pPr>
        <w:pStyle w:val="ListNumber"/>
        <w:spacing w:before="30" w:after="30"/>
      </w:pPr>
      <w:r>
        <w:rPr>
          <w:rFonts w:ascii="Arial" w:hAnsi="Arial"/>
          <w:sz w:val="19"/>
        </w:rPr>
      </w:r>
      <w:r>
        <w:rPr>
          <w:rFonts w:ascii="Arial" w:hAnsi="Arial"/>
          <w:b/>
          <w:sz w:val="19"/>
        </w:rPr>
        <w:t>Check Original Sources:</w:t>
      </w:r>
      <w:r>
        <w:rPr>
          <w:rFonts w:ascii="Arial" w:hAnsi="Arial"/>
          <w:sz w:val="19"/>
        </w:rPr>
        <w:t xml:space="preserve"> The investigator reviews findings, confirming the exact public source web address, response date, and source provider.</w:t>
      </w:r>
    </w:p>
    <w:p>
      <w:pPr>
        <w:pStyle w:val="ListNumber"/>
        <w:spacing w:before="30" w:after="30"/>
      </w:pPr>
      <w:r>
        <w:rPr>
          <w:rFonts w:ascii="Arial" w:hAnsi="Arial"/>
          <w:sz w:val="19"/>
        </w:rPr>
      </w:r>
      <w:r>
        <w:rPr>
          <w:rFonts w:ascii="Arial" w:hAnsi="Arial"/>
          <w:b/>
          <w:sz w:val="19"/>
        </w:rPr>
        <w:t>Build Case File:</w:t>
      </w:r>
      <w:r>
        <w:rPr>
          <w:rFonts w:ascii="Arial" w:hAnsi="Arial"/>
          <w:sz w:val="19"/>
        </w:rPr>
        <w:t xml:space="preserve"> Useful findings are promoted into an active investigation case with a single click, allowing notes and tags to be added.</w:t>
      </w:r>
    </w:p>
    <w:p>
      <w:pPr>
        <w:pStyle w:val="ListNumber"/>
        <w:spacing w:before="30" w:after="30"/>
      </w:pPr>
      <w:r>
        <w:rPr>
          <w:rFonts w:ascii="Arial" w:hAnsi="Arial"/>
          <w:sz w:val="19"/>
        </w:rPr>
      </w:r>
      <w:r>
        <w:rPr>
          <w:rFonts w:ascii="Arial" w:hAnsi="Arial"/>
          <w:b/>
          <w:sz w:val="19"/>
        </w:rPr>
        <w:t>Connect Entities:</w:t>
      </w:r>
      <w:r>
        <w:rPr>
          <w:rFonts w:ascii="Arial" w:hAnsi="Arial"/>
          <w:sz w:val="19"/>
        </w:rPr>
        <w:t xml:space="preserve"> Extracted organizations, domain names, and contacts are linked on an interactive relationship map showing observed connections.</w:t>
      </w:r>
    </w:p>
    <w:p>
      <w:pPr>
        <w:pStyle w:val="ListNumber"/>
        <w:spacing w:before="30" w:after="30"/>
      </w:pPr>
      <w:r>
        <w:rPr>
          <w:rFonts w:ascii="Arial" w:hAnsi="Arial"/>
          <w:sz w:val="19"/>
        </w:rPr>
      </w:r>
      <w:r>
        <w:rPr>
          <w:rFonts w:ascii="Arial" w:hAnsi="Arial"/>
          <w:b/>
          <w:sz w:val="19"/>
        </w:rPr>
        <w:t>Preserve Evidence:</w:t>
      </w:r>
      <w:r>
        <w:rPr>
          <w:rFonts w:ascii="Arial" w:hAnsi="Arial"/>
          <w:sz w:val="19"/>
        </w:rPr>
        <w:t xml:space="preserve"> Every collected record is stored in the Evidence Vault with an immutable digital fingerprint and timestamp.</w:t>
      </w:r>
    </w:p>
    <w:p>
      <w:pPr>
        <w:pStyle w:val="ListNumber"/>
        <w:spacing w:before="30" w:after="30"/>
      </w:pPr>
      <w:r>
        <w:rPr>
          <w:rFonts w:ascii="Arial" w:hAnsi="Arial"/>
          <w:sz w:val="19"/>
        </w:rPr>
      </w:r>
      <w:r>
        <w:rPr>
          <w:rFonts w:ascii="Arial" w:hAnsi="Arial"/>
          <w:b/>
          <w:sz w:val="19"/>
        </w:rPr>
        <w:t>Generate Dossier:</w:t>
      </w:r>
      <w:r>
        <w:rPr>
          <w:rFonts w:ascii="Arial" w:hAnsi="Arial"/>
          <w:sz w:val="19"/>
        </w:rPr>
        <w:t xml:space="preserve"> The analyst compiles an executive summary, attached findings, and evidence tables into a clean case report.</w:t>
      </w:r>
    </w:p>
    <w:p>
      <w:pPr>
        <w:spacing w:before="80" w:after="80"/>
      </w:pPr>
      <w:r>
        <w:rPr>
          <w:color w:val="CBD5E1"/>
          <w:sz w:val="16"/>
        </w:rPr>
        <w:t>―――――――――――――――――――――――――――――――――――――――――――――</w:t>
      </w:r>
    </w:p>
    <w:p>
      <w:pPr>
        <w:spacing w:before="280" w:after="80"/>
      </w:pPr>
      <w:r>
        <w:rPr>
          <w:rFonts w:ascii="Arial" w:hAnsi="Arial"/>
          <w:b/>
          <w:color w:val="1E293B"/>
          <w:sz w:val="28"/>
        </w:rPr>
        <w:t>5. Proposed Demonstration Plan (20–30 Minutes)</w:t>
      </w:r>
    </w:p>
    <w:p>
      <w:pPr>
        <w:spacing w:before="40" w:after="80" w:line="276" w:lineRule="auto"/>
      </w:pPr>
      <w:r>
        <w:rPr>
          <w:rFonts w:ascii="Arial" w:hAnsi="Arial"/>
          <w:color w:val="1E293B"/>
          <w:sz w:val="19"/>
        </w:rPr>
        <w:t xml:space="preserve">This demonstration is designed to walk your team through an authentic investigation rather than a tour of software menus. We will use a safe, well-known public target (such as </w:t>
      </w:r>
      <w:r>
        <w:rPr>
          <w:rFonts w:ascii="Courier New" w:hAnsi="Courier New"/>
          <w:sz w:val="17"/>
        </w:rPr>
        <w:t>apple.com</w:t>
      </w:r>
      <w:r>
        <w:rPr>
          <w:rFonts w:ascii="Arial" w:hAnsi="Arial"/>
          <w:color w:val="1E293B"/>
          <w:sz w:val="19"/>
        </w:rPr>
        <w:t xml:space="preserve"> or an agreed public corporation) to show practical value in real time.</w:t>
      </w:r>
    </w:p>
    <w:p>
      <w:pPr>
        <w:spacing w:before="200" w:after="60"/>
      </w:pPr>
      <w:r>
        <w:rPr>
          <w:rFonts w:ascii="Arial" w:hAnsi="Arial"/>
          <w:b/>
          <w:color w:val="334155"/>
          <w:sz w:val="23"/>
        </w:rPr>
        <w:t>Step 1: Access and Team Workspace (3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The secure login portal and role-based workspace.</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Log in as a Lead Analyst to demonstrate an active workspace with organizational data privacy enforced.</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Different departments or client organizations are strictly separated; team members only see cases belonging to their organization.</w:t>
      </w:r>
    </w:p>
    <w:p>
      <w:pPr>
        <w:spacing w:before="200" w:after="60"/>
      </w:pPr>
      <w:r>
        <w:rPr>
          <w:rFonts w:ascii="Arial" w:hAnsi="Arial"/>
          <w:b/>
          <w:color w:val="334155"/>
          <w:sz w:val="23"/>
        </w:rPr>
        <w:t>Step 2: Unified Multi-Source Search (5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The primary intelligence search interface with live query tracking.</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Search the agreed demonstration domain (</w:t>
      </w:r>
      <w:r>
        <w:rPr>
          <w:rFonts w:ascii="Courier New" w:hAnsi="Courier New"/>
          <w:sz w:val="17"/>
        </w:rPr>
        <w:t>apple.com</w:t>
      </w:r>
      <w:r>
        <w:rPr>
          <w:rFonts w:ascii="Arial" w:hAnsi="Arial"/>
          <w:sz w:val="19"/>
        </w:rPr>
        <w:t>).</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The system automatically identifies the target as a corporate domain and queries relevant public sources (corporate filings, technical records, and web archives) without requiring complex query syntax.</w:t>
      </w:r>
    </w:p>
    <w:p>
      <w:pPr>
        <w:spacing w:before="200" w:after="60"/>
      </w:pPr>
      <w:r>
        <w:rPr>
          <w:rFonts w:ascii="Arial" w:hAnsi="Arial"/>
          <w:b/>
          <w:color w:val="334155"/>
          <w:sz w:val="23"/>
        </w:rPr>
        <w:t>Step 3: Examining Verified Source Records (6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Organized intelligence result cards displaying official corporate filings, historical web archive snapshots, and security status.</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Inspect official public filings (such as SEC corporate registration details), review historical web page snapshots, and verify that the security feed confirms zero active malware associations.</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Sential presents genuine source data with exact web addresses and timestamps. It never generates mock findings or guesses.</w:t>
      </w:r>
    </w:p>
    <w:p>
      <w:pPr>
        <w:spacing w:before="200" w:after="60"/>
      </w:pPr>
      <w:r>
        <w:rPr>
          <w:rFonts w:ascii="Arial" w:hAnsi="Arial"/>
          <w:b/>
          <w:color w:val="334155"/>
          <w:sz w:val="23"/>
        </w:rPr>
        <w:t>Step 4: Visualizing Entity Relationships and Locations (5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The interactive Connection Studio and Geographic Map.</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Promote the search into an active case and open the relationship map. We will trace how the domain connects to its corporate parent and legal identifiers, and view relevant server locations on a world map.</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Analysts can visually explain complex corporate and digital networks to decision-makers without manually creating charts.</w:t>
      </w:r>
    </w:p>
    <w:p>
      <w:pPr>
        <w:spacing w:before="200" w:after="60"/>
      </w:pPr>
      <w:r>
        <w:rPr>
          <w:rFonts w:ascii="Arial" w:hAnsi="Arial"/>
          <w:b/>
          <w:color w:val="334155"/>
          <w:sz w:val="23"/>
        </w:rPr>
        <w:t>Step 5: Evidence Custody and Fingerprinting (4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The Evidence Vault with digital tamper-evident tracking.</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Open a stored evidence card to inspect the raw collected data, timestamp, and the computed digital fingerprint (SHA-256).</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You have mathematical proof that stored evidence has not been altered since collection.</w:t>
      </w:r>
    </w:p>
    <w:p>
      <w:pPr>
        <w:spacing w:before="200" w:after="60"/>
      </w:pPr>
      <w:r>
        <w:rPr>
          <w:rFonts w:ascii="Arial" w:hAnsi="Arial"/>
          <w:b/>
          <w:color w:val="334155"/>
          <w:sz w:val="23"/>
        </w:rPr>
        <w:t>Step 6: Case Summary Dossier Export (4 Minutes)</w:t>
      </w:r>
    </w:p>
    <w:p>
      <w:pPr>
        <w:pStyle w:val="ListBullet"/>
        <w:spacing w:before="30" w:after="30"/>
      </w:pPr>
      <w:r>
        <w:rPr>
          <w:rFonts w:ascii="Arial" w:hAnsi="Arial"/>
          <w:sz w:val="19"/>
        </w:rPr>
      </w:r>
      <w:r>
        <w:rPr>
          <w:rFonts w:ascii="Arial" w:hAnsi="Arial"/>
          <w:b/>
          <w:sz w:val="19"/>
        </w:rPr>
        <w:t>What You Will See:</w:t>
      </w:r>
      <w:r>
        <w:rPr>
          <w:rFonts w:ascii="Arial" w:hAnsi="Arial"/>
          <w:sz w:val="19"/>
        </w:rPr>
        <w:t xml:space="preserve"> The Dossier Generation interface.</w:t>
      </w:r>
    </w:p>
    <w:p>
      <w:pPr>
        <w:pStyle w:val="ListBullet"/>
        <w:spacing w:before="30" w:after="30"/>
      </w:pPr>
      <w:r>
        <w:rPr>
          <w:rFonts w:ascii="Arial" w:hAnsi="Arial"/>
          <w:sz w:val="19"/>
        </w:rPr>
      </w:r>
      <w:r>
        <w:rPr>
          <w:rFonts w:ascii="Arial" w:hAnsi="Arial"/>
          <w:b/>
          <w:sz w:val="19"/>
        </w:rPr>
        <w:t>What We Will Do:</w:t>
      </w:r>
      <w:r>
        <w:rPr>
          <w:rFonts w:ascii="Arial" w:hAnsi="Arial"/>
          <w:sz w:val="19"/>
        </w:rPr>
        <w:t xml:space="preserve"> Add brief analyst findings and export a structured investigation dossier containing the executive summary, findings, and evidence references.</w:t>
      </w:r>
    </w:p>
    <w:p>
      <w:pPr>
        <w:pStyle w:val="ListBullet"/>
        <w:spacing w:before="30" w:after="30"/>
      </w:pPr>
      <w:r>
        <w:rPr>
          <w:rFonts w:ascii="Arial" w:hAnsi="Arial"/>
          <w:sz w:val="19"/>
        </w:rPr>
      </w:r>
      <w:r>
        <w:rPr>
          <w:rFonts w:ascii="Arial" w:hAnsi="Arial"/>
          <w:b/>
          <w:sz w:val="19"/>
        </w:rPr>
        <w:t>Key Takeaway:</w:t>
      </w:r>
      <w:r>
        <w:rPr>
          <w:rFonts w:ascii="Arial" w:hAnsi="Arial"/>
          <w:sz w:val="19"/>
        </w:rPr>
        <w:t xml:space="preserve"> Investigations conclude with an organized, shareable executive report ready for management review.</w:t>
      </w:r>
    </w:p>
    <w:p>
      <w:pPr>
        <w:spacing w:before="200" w:after="60"/>
      </w:pPr>
      <w:r>
        <w:rPr>
          <w:rFonts w:ascii="Arial" w:hAnsi="Arial"/>
          <w:b/>
          <w:color w:val="334155"/>
          <w:sz w:val="23"/>
        </w:rPr>
        <w:t>Transparent Limitations Disclosed</w:t>
      </w:r>
    </w:p>
    <w:p>
      <w:pPr>
        <w:pStyle w:val="ListBullet"/>
        <w:spacing w:before="30" w:after="30"/>
      </w:pPr>
      <w:r>
        <w:rPr>
          <w:rFonts w:ascii="Arial" w:hAnsi="Arial"/>
          <w:sz w:val="19"/>
        </w:rPr>
      </w:r>
      <w:r>
        <w:rPr>
          <w:rFonts w:ascii="Arial" w:hAnsi="Arial"/>
          <w:b/>
          <w:sz w:val="19"/>
        </w:rPr>
        <w:t>Commercial Scanners:</w:t>
      </w:r>
      <w:r>
        <w:rPr>
          <w:rFonts w:ascii="Arial" w:hAnsi="Arial"/>
          <w:sz w:val="19"/>
        </w:rPr>
        <w:t xml:space="preserve"> Advanced commercial security feeds (such as Shodan or Censys) require corporate API subscription keys and will be demonstrated using public feeds unless client keys are provided.</w:t>
      </w:r>
    </w:p>
    <w:p>
      <w:pPr>
        <w:pStyle w:val="ListBullet"/>
        <w:spacing w:before="30" w:after="30"/>
      </w:pPr>
      <w:r>
        <w:rPr>
          <w:rFonts w:ascii="Arial" w:hAnsi="Arial"/>
          <w:sz w:val="19"/>
        </w:rPr>
      </w:r>
      <w:r>
        <w:rPr>
          <w:rFonts w:ascii="Arial" w:hAnsi="Arial"/>
          <w:b/>
          <w:sz w:val="19"/>
        </w:rPr>
        <w:t>Public Rate Limits:</w:t>
      </w:r>
      <w:r>
        <w:rPr>
          <w:rFonts w:ascii="Arial" w:hAnsi="Arial"/>
          <w:sz w:val="19"/>
        </w:rPr>
        <w:t xml:space="preserve"> Some public directories enforce request limits; the platform handles these gracefully by informing the user rather than failing.</w:t>
      </w:r>
    </w:p>
    <w:p>
      <w:pPr>
        <w:spacing w:before="80" w:after="80"/>
      </w:pPr>
      <w:r>
        <w:rPr>
          <w:color w:val="CBD5E1"/>
          <w:sz w:val="16"/>
        </w:rPr>
        <w:t>―――――――――――――――――――――――――――――――――――――――――――――</w:t>
      </w:r>
    </w:p>
    <w:p>
      <w:pPr>
        <w:spacing w:before="280" w:after="80"/>
      </w:pPr>
      <w:r>
        <w:rPr>
          <w:rFonts w:ascii="Arial" w:hAnsi="Arial"/>
          <w:b/>
          <w:color w:val="1E293B"/>
          <w:sz w:val="28"/>
        </w:rPr>
        <w:t>6. Expected Demonstration Outcome</w:t>
      </w:r>
    </w:p>
    <w:p>
      <w:pPr>
        <w:spacing w:before="40" w:after="80" w:line="276" w:lineRule="auto"/>
      </w:pPr>
      <w:r>
        <w:rPr>
          <w:rFonts w:ascii="Arial" w:hAnsi="Arial"/>
          <w:color w:val="1E293B"/>
          <w:sz w:val="19"/>
        </w:rPr>
        <w:t>By the end of the 25-minute demonstration, your team will be able to clearly evaluate:</w:t>
      </w:r>
    </w:p>
    <w:p>
      <w:pPr>
        <w:pStyle w:val="ListNumber"/>
        <w:spacing w:before="30" w:after="30"/>
      </w:pPr>
      <w:r>
        <w:rPr>
          <w:rFonts w:ascii="Arial" w:hAnsi="Arial"/>
          <w:sz w:val="19"/>
        </w:rPr>
        <w:t>Whether the platform's multi-source search saves your team meaningful time compared to manual research.</w:t>
      </w:r>
    </w:p>
    <w:p>
      <w:pPr>
        <w:pStyle w:val="ListNumber"/>
        <w:spacing w:before="30" w:after="30"/>
      </w:pPr>
      <w:r>
        <w:rPr>
          <w:rFonts w:ascii="Arial" w:hAnsi="Arial"/>
          <w:sz w:val="19"/>
        </w:rPr>
        <w:t>How easily investigators can trace any finding back to its original public web source.</w:t>
      </w:r>
    </w:p>
    <w:p>
      <w:pPr>
        <w:pStyle w:val="ListNumber"/>
        <w:spacing w:before="30" w:after="30"/>
      </w:pPr>
      <w:r>
        <w:rPr>
          <w:rFonts w:ascii="Arial" w:hAnsi="Arial"/>
          <w:sz w:val="19"/>
        </w:rPr>
        <w:t>How the visual relationship map and case organization simplify reporting to executives or clients.</w:t>
      </w:r>
    </w:p>
    <w:p>
      <w:pPr>
        <w:pStyle w:val="ListNumber"/>
        <w:spacing w:before="30" w:after="30"/>
      </w:pPr>
      <w:r>
        <w:rPr>
          <w:rFonts w:ascii="Arial" w:hAnsi="Arial"/>
          <w:sz w:val="19"/>
        </w:rPr>
        <w:t>How evidence integrity safeguards protect your findings from disputes or accusations of tampering.</w:t>
      </w:r>
    </w:p>
    <w:p>
      <w:pPr>
        <w:spacing w:before="40" w:after="80" w:line="276" w:lineRule="auto"/>
      </w:pPr>
      <w:r>
        <w:rPr>
          <w:rFonts w:ascii="Arial" w:hAnsi="Arial"/>
          <w:color w:val="1E293B"/>
          <w:sz w:val="19"/>
        </w:rPr>
      </w:r>
      <w:r>
        <w:rPr>
          <w:rFonts w:ascii="Arial" w:hAnsi="Arial"/>
          <w:i/>
          <w:color w:val="1E293B"/>
          <w:sz w:val="19"/>
        </w:rPr>
        <w:t>Note: Sential proves that evidence has not been modified after collection; it does not guarantee that third-party public websites were factually truthful. Critical decisions should always involve analyst verification.</w:t>
      </w:r>
      <w:r>
        <w:rPr>
          <w:rFonts w:ascii="Arial" w:hAnsi="Arial"/>
          <w:color w:val="1E293B"/>
          <w:sz w:val="19"/>
        </w:rPr>
      </w:r>
    </w:p>
    <w:p>
      <w:pPr>
        <w:spacing w:before="80" w:after="80"/>
      </w:pPr>
      <w:r>
        <w:rPr>
          <w:color w:val="CBD5E1"/>
          <w:sz w:val="16"/>
        </w:rPr>
        <w:t>―――――――――――――――――――――――――――――――――――――――――――――</w:t>
      </w:r>
    </w:p>
    <w:p>
      <w:pPr>
        <w:spacing w:before="280" w:after="80"/>
      </w:pPr>
      <w:r>
        <w:rPr>
          <w:rFonts w:ascii="Arial" w:hAnsi="Arial"/>
          <w:b/>
          <w:color w:val="1E293B"/>
          <w:sz w:val="28"/>
        </w:rPr>
        <w:t>7. Requirements to Confirm with Your Team</w:t>
      </w:r>
    </w:p>
    <w:p>
      <w:pPr>
        <w:spacing w:before="40" w:after="80" w:line="276" w:lineRule="auto"/>
      </w:pPr>
      <w:r>
        <w:rPr>
          <w:rFonts w:ascii="Arial" w:hAnsi="Arial"/>
          <w:color w:val="1E293B"/>
          <w:sz w:val="19"/>
        </w:rPr>
        <w:t>To ensure that the platform aligns with your exact operational requirements, we will discuss the following practical questions:</w:t>
      </w:r>
    </w:p>
    <w:p>
      <w:pPr>
        <w:pStyle w:val="ListNumber"/>
        <w:spacing w:before="30" w:after="30"/>
      </w:pPr>
      <w:r>
        <w:rPr>
          <w:rFonts w:ascii="Arial" w:hAnsi="Arial"/>
          <w:sz w:val="19"/>
        </w:rPr>
      </w:r>
      <w:r>
        <w:rPr>
          <w:rFonts w:ascii="Arial" w:hAnsi="Arial"/>
          <w:b/>
          <w:sz w:val="19"/>
        </w:rPr>
        <w:t>Primary Investigation Focus:</w:t>
      </w:r>
      <w:r>
        <w:rPr>
          <w:rFonts w:ascii="Arial" w:hAnsi="Arial"/>
          <w:sz w:val="19"/>
        </w:rPr>
        <w:t xml:space="preserve"> Which investigations represent the majority of your daily workload? (Corporate due diligence, background checks on individuals, cyber incident response, or brand monitoring?)</w:t>
      </w:r>
    </w:p>
    <w:p>
      <w:pPr>
        <w:pStyle w:val="ListNumber"/>
        <w:spacing w:before="30" w:after="30"/>
      </w:pPr>
      <w:r>
        <w:rPr>
          <w:rFonts w:ascii="Arial" w:hAnsi="Arial"/>
          <w:sz w:val="19"/>
        </w:rPr>
      </w:r>
      <w:r>
        <w:rPr>
          <w:rFonts w:ascii="Arial" w:hAnsi="Arial"/>
          <w:b/>
          <w:sz w:val="19"/>
        </w:rPr>
        <w:t>Key Intelligence Sources:</w:t>
      </w:r>
      <w:r>
        <w:rPr>
          <w:rFonts w:ascii="Arial" w:hAnsi="Arial"/>
          <w:sz w:val="19"/>
        </w:rPr>
        <w:t xml:space="preserve"> Which specific public databases, business registries, or regional sources are mandatory for your work?</w:t>
      </w:r>
    </w:p>
    <w:p>
      <w:pPr>
        <w:pStyle w:val="ListNumber"/>
        <w:spacing w:before="30" w:after="30"/>
      </w:pPr>
      <w:r>
        <w:rPr>
          <w:rFonts w:ascii="Arial" w:hAnsi="Arial"/>
          <w:sz w:val="19"/>
        </w:rPr>
      </w:r>
      <w:r>
        <w:rPr>
          <w:rFonts w:ascii="Arial" w:hAnsi="Arial"/>
          <w:b/>
          <w:sz w:val="19"/>
        </w:rPr>
        <w:t>Commercial Feeds:</w:t>
      </w:r>
      <w:r>
        <w:rPr>
          <w:rFonts w:ascii="Arial" w:hAnsi="Arial"/>
          <w:sz w:val="19"/>
        </w:rPr>
        <w:t xml:space="preserve"> Does your organization currently subscribe to paid intelligence services (such as Shodan, Censys, or VirusTotal) that should be integrated?</w:t>
      </w:r>
    </w:p>
    <w:p>
      <w:pPr>
        <w:pStyle w:val="ListNumber"/>
        <w:spacing w:before="30" w:after="30"/>
      </w:pPr>
      <w:r>
        <w:rPr>
          <w:rFonts w:ascii="Arial" w:hAnsi="Arial"/>
          <w:sz w:val="19"/>
        </w:rPr>
      </w:r>
      <w:r>
        <w:rPr>
          <w:rFonts w:ascii="Arial" w:hAnsi="Arial"/>
          <w:b/>
          <w:sz w:val="19"/>
        </w:rPr>
        <w:t>Geographic Coverage:</w:t>
      </w:r>
      <w:r>
        <w:rPr>
          <w:rFonts w:ascii="Arial" w:hAnsi="Arial"/>
          <w:sz w:val="19"/>
        </w:rPr>
        <w:t xml:space="preserve"> Which countries or languages are most critical for your investigations?</w:t>
      </w:r>
    </w:p>
    <w:p>
      <w:pPr>
        <w:pStyle w:val="ListNumber"/>
        <w:spacing w:before="30" w:after="30"/>
      </w:pPr>
      <w:r>
        <w:rPr>
          <w:rFonts w:ascii="Arial" w:hAnsi="Arial"/>
          <w:sz w:val="19"/>
        </w:rPr>
      </w:r>
      <w:r>
        <w:rPr>
          <w:rFonts w:ascii="Arial" w:hAnsi="Arial"/>
          <w:b/>
          <w:sz w:val="19"/>
        </w:rPr>
        <w:t>Preferred Report Format:</w:t>
      </w:r>
      <w:r>
        <w:rPr>
          <w:rFonts w:ascii="Arial" w:hAnsi="Arial"/>
          <w:sz w:val="19"/>
        </w:rPr>
        <w:t xml:space="preserve"> Does your leadership team require final reports in PDF, Microsoft Word, or another format?</w:t>
      </w:r>
    </w:p>
    <w:p>
      <w:pPr>
        <w:pStyle w:val="ListNumber"/>
        <w:spacing w:before="30" w:after="30"/>
      </w:pPr>
      <w:r>
        <w:rPr>
          <w:rFonts w:ascii="Arial" w:hAnsi="Arial"/>
          <w:sz w:val="19"/>
        </w:rPr>
      </w:r>
      <w:r>
        <w:rPr>
          <w:rFonts w:ascii="Arial" w:hAnsi="Arial"/>
          <w:b/>
          <w:sz w:val="19"/>
        </w:rPr>
        <w:t>User Team Structure:</w:t>
      </w:r>
      <w:r>
        <w:rPr>
          <w:rFonts w:ascii="Arial" w:hAnsi="Arial"/>
          <w:sz w:val="19"/>
        </w:rPr>
        <w:t xml:space="preserve"> How many investigators, senior analysts, and supervisors will need access?</w:t>
      </w:r>
    </w:p>
    <w:p>
      <w:pPr>
        <w:pStyle w:val="ListNumber"/>
        <w:spacing w:before="30" w:after="30"/>
      </w:pPr>
      <w:r>
        <w:rPr>
          <w:rFonts w:ascii="Arial" w:hAnsi="Arial"/>
          <w:sz w:val="19"/>
        </w:rPr>
      </w:r>
      <w:r>
        <w:rPr>
          <w:rFonts w:ascii="Arial" w:hAnsi="Arial"/>
          <w:b/>
          <w:sz w:val="19"/>
        </w:rPr>
        <w:t>Hosting Preference:</w:t>
      </w:r>
      <w:r>
        <w:rPr>
          <w:rFonts w:ascii="Arial" w:hAnsi="Arial"/>
          <w:sz w:val="19"/>
        </w:rPr>
        <w:t xml:space="preserve"> Do you prefer a fully managed cloud service (SaaS) or deployment within your own private corporate cloud or server environment?</w:t>
      </w:r>
    </w:p>
    <w:p>
      <w:pPr>
        <w:pStyle w:val="ListNumber"/>
        <w:spacing w:before="30" w:after="30"/>
      </w:pPr>
      <w:r>
        <w:rPr>
          <w:rFonts w:ascii="Arial" w:hAnsi="Arial"/>
          <w:sz w:val="19"/>
        </w:rPr>
      </w:r>
      <w:r>
        <w:rPr>
          <w:rFonts w:ascii="Arial" w:hAnsi="Arial"/>
          <w:b/>
          <w:sz w:val="19"/>
        </w:rPr>
        <w:t>Data Retention Policies:</w:t>
      </w:r>
      <w:r>
        <w:rPr>
          <w:rFonts w:ascii="Arial" w:hAnsi="Arial"/>
          <w:sz w:val="19"/>
        </w:rPr>
        <w:t xml:space="preserve"> How long should completed investigation files and evidence records be stored before automated archiving or deletion?</w:t>
      </w:r>
    </w:p>
    <w:p>
      <w:pPr>
        <w:spacing w:before="80" w:after="80"/>
      </w:pPr>
      <w:r>
        <w:rPr>
          <w:color w:val="CBD5E1"/>
          <w:sz w:val="16"/>
        </w:rPr>
        <w:t>―――――――――――――――――――――――――――――――――――――――――――――</w:t>
      </w:r>
    </w:p>
    <w:p>
      <w:pPr>
        <w:spacing w:before="280" w:after="80"/>
      </w:pPr>
      <w:r>
        <w:rPr>
          <w:rFonts w:ascii="Arial" w:hAnsi="Arial"/>
          <w:b/>
          <w:color w:val="1E293B"/>
          <w:sz w:val="28"/>
        </w:rPr>
        <w:t>8. Recommended Next Steps</w:t>
      </w:r>
    </w:p>
    <w:p>
      <w:pPr>
        <w:spacing w:before="40" w:after="80" w:line="276" w:lineRule="auto"/>
      </w:pPr>
      <w:r>
        <w:rPr>
          <w:rFonts w:ascii="Arial" w:hAnsi="Arial"/>
          <w:color w:val="1E293B"/>
          <w:sz w:val="19"/>
        </w:rPr>
        <w:t>We recommend a simple, structured five-step path to implementation:</w:t>
      </w:r>
    </w:p>
    <w:p>
      <w:pPr>
        <w:pStyle w:val="ListNumber"/>
        <w:spacing w:before="30" w:after="30"/>
      </w:pPr>
      <w:r>
        <w:rPr>
          <w:rFonts w:ascii="Arial" w:hAnsi="Arial"/>
          <w:sz w:val="19"/>
        </w:rPr>
      </w:r>
      <w:r>
        <w:rPr>
          <w:rFonts w:ascii="Arial" w:hAnsi="Arial"/>
          <w:b/>
          <w:sz w:val="19"/>
        </w:rPr>
        <w:t>Conduct the Capability Demonstration:</w:t>
      </w:r>
      <w:r>
        <w:rPr>
          <w:rFonts w:ascii="Arial" w:hAnsi="Arial"/>
          <w:sz w:val="19"/>
        </w:rPr>
        <w:t xml:space="preserve"> Complete the 25-minute live demonstration using the agreed safe corporate target.</w:t>
      </w:r>
    </w:p>
    <w:p>
      <w:pPr>
        <w:pStyle w:val="ListNumber"/>
        <w:spacing w:before="30" w:after="30"/>
      </w:pPr>
      <w:r>
        <w:rPr>
          <w:rFonts w:ascii="Arial" w:hAnsi="Arial"/>
          <w:sz w:val="19"/>
        </w:rPr>
      </w:r>
      <w:r>
        <w:rPr>
          <w:rFonts w:ascii="Arial" w:hAnsi="Arial"/>
          <w:b/>
          <w:sz w:val="19"/>
        </w:rPr>
        <w:t>Review Practical Requirements:</w:t>
      </w:r>
      <w:r>
        <w:rPr>
          <w:rFonts w:ascii="Arial" w:hAnsi="Arial"/>
          <w:sz w:val="19"/>
        </w:rPr>
        <w:t xml:space="preserve"> Capture your feedback on the 8 questions above to confirm required sources, user numbers, and report preferences.</w:t>
      </w:r>
    </w:p>
    <w:p>
      <w:pPr>
        <w:pStyle w:val="ListNumber"/>
        <w:spacing w:before="30" w:after="30"/>
      </w:pPr>
      <w:r>
        <w:rPr>
          <w:rFonts w:ascii="Arial" w:hAnsi="Arial"/>
          <w:sz w:val="19"/>
        </w:rPr>
      </w:r>
      <w:r>
        <w:rPr>
          <w:rFonts w:ascii="Arial" w:hAnsi="Arial"/>
          <w:b/>
          <w:sz w:val="19"/>
        </w:rPr>
        <w:t>Prioritize Immediate Needs:</w:t>
      </w:r>
      <w:r>
        <w:rPr>
          <w:rFonts w:ascii="Arial" w:hAnsi="Arial"/>
          <w:sz w:val="19"/>
        </w:rPr>
        <w:t xml:space="preserve"> Agree on the essential capabilities required for your initial rollout versus secondary enhancements.</w:t>
      </w:r>
    </w:p>
    <w:p>
      <w:pPr>
        <w:pStyle w:val="ListNumber"/>
        <w:spacing w:before="30" w:after="30"/>
      </w:pPr>
      <w:r>
        <w:rPr>
          <w:rFonts w:ascii="Arial" w:hAnsi="Arial"/>
          <w:sz w:val="19"/>
        </w:rPr>
      </w:r>
      <w:r>
        <w:rPr>
          <w:rFonts w:ascii="Arial" w:hAnsi="Arial"/>
          <w:b/>
          <w:sz w:val="19"/>
        </w:rPr>
        <w:t>Deliver Pilot Workspace:</w:t>
      </w:r>
      <w:r>
        <w:rPr>
          <w:rFonts w:ascii="Arial" w:hAnsi="Arial"/>
          <w:sz w:val="19"/>
        </w:rPr>
        <w:t xml:space="preserve"> Set up an isolated pilot workspace configured with your team accounts and required intelligence sources.</w:t>
      </w:r>
    </w:p>
    <w:p>
      <w:pPr>
        <w:pStyle w:val="ListNumber"/>
        <w:spacing w:before="30" w:after="30"/>
      </w:pPr>
      <w:r>
        <w:rPr>
          <w:rFonts w:ascii="Arial" w:hAnsi="Arial"/>
          <w:sz w:val="19"/>
        </w:rPr>
      </w:r>
      <w:r>
        <w:rPr>
          <w:rFonts w:ascii="Arial" w:hAnsi="Arial"/>
          <w:b/>
          <w:sz w:val="19"/>
        </w:rPr>
        <w:t>Review and Full Rollout:</w:t>
      </w:r>
      <w:r>
        <w:rPr>
          <w:rFonts w:ascii="Arial" w:hAnsi="Arial"/>
          <w:sz w:val="19"/>
        </w:rPr>
        <w:t xml:space="preserve"> Conduct a two-week pilot evaluation with your investigative team, followed by formal onboarding and training.</w:t>
      </w:r>
    </w:p>
    <w:p>
      <w:pPr>
        <w:spacing w:before="80" w:after="80"/>
      </w:pPr>
      <w:r>
        <w:rPr>
          <w:color w:val="CBD5E1"/>
          <w:sz w:val="16"/>
        </w:rPr>
        <w:t>―――――――――――――――――――――――――――――――――――――――――――――</w:t>
      </w:r>
    </w:p>
    <w:p>
      <w:pPr>
        <w:spacing w:before="280" w:after="80"/>
      </w:pPr>
      <w:r>
        <w:rPr>
          <w:rFonts w:ascii="Arial" w:hAnsi="Arial"/>
          <w:b/>
          <w:color w:val="1E293B"/>
          <w:sz w:val="28"/>
        </w:rPr>
        <w:t>9. Closing Statement</w:t>
      </w:r>
    </w:p>
    <w:p>
      <w:pPr>
        <w:spacing w:before="40" w:after="80" w:line="276" w:lineRule="auto"/>
      </w:pPr>
      <w:r>
        <w:rPr>
          <w:rFonts w:ascii="Arial" w:hAnsi="Arial"/>
          <w:color w:val="1E293B"/>
          <w:sz w:val="19"/>
        </w:rPr>
        <w:t>Every investigation team has unique priorities, operating environments, and reporting standards. Our goal is not to deliver a generic software package with unused features, but to provide a dependable, evidence-backed workspace tailored directly to your team's real investigation workflow.</w:t>
      </w:r>
    </w:p>
    <w:p>
      <w:pPr>
        <w:spacing w:before="40" w:after="80" w:line="276" w:lineRule="auto"/>
      </w:pPr>
      <w:r>
        <w:rPr>
          <w:rFonts w:ascii="Arial" w:hAnsi="Arial"/>
          <w:color w:val="1E293B"/>
          <w:sz w:val="19"/>
        </w:rPr>
        <w:t>We look forward to demonstrating these capabilities and shaping the platform around your team's operational needs.</w:t>
      </w:r>
    </w:p>
    <w:p>
      <w:pPr>
        <w:spacing w:before="80" w:after="80"/>
      </w:pPr>
      <w:r>
        <w:rPr>
          <w:color w:val="CBD5E1"/>
          <w:sz w:val="16"/>
        </w:rPr>
        <w:t>―――――――――――――――――――――――――――――――――――――――――――――</w:t>
      </w:r>
    </w:p>
    <w:p>
      <w:pPr>
        <w:spacing w:before="40" w:after="80" w:line="276" w:lineRule="auto"/>
      </w:pPr>
      <w:r>
        <w:rPr>
          <w:rFonts w:ascii="Arial" w:hAnsi="Arial"/>
          <w:color w:val="1E293B"/>
          <w:sz w:val="19"/>
        </w:rPr>
      </w:r>
      <w:r>
        <w:rPr>
          <w:rFonts w:ascii="Arial" w:hAnsi="Arial"/>
          <w:i/>
          <w:color w:val="1E293B"/>
          <w:sz w:val="19"/>
        </w:rPr>
        <w:t>Prepared by the Intelligence Solutions &amp; Architecture Team</w:t>
      </w:r>
      <w:r>
        <w:rPr>
          <w:rFonts w:ascii="Arial" w:hAnsi="Arial"/>
          <w:color w:val="1E293B"/>
          <w:sz w:val="19"/>
        </w:rPr>
      </w:r>
    </w:p>
    <w:p>
      <w:pPr>
        <w:spacing w:before="40" w:after="80" w:line="276" w:lineRule="auto"/>
      </w:pPr>
      <w:r>
        <w:rPr>
          <w:rFonts w:ascii="Arial" w:hAnsi="Arial"/>
          <w:color w:val="1E293B"/>
          <w:sz w:val="19"/>
        </w:rPr>
      </w:r>
      <w:r>
        <w:rPr>
          <w:rFonts w:ascii="Arial" w:hAnsi="Arial"/>
          <w:i/>
          <w:color w:val="1E293B"/>
          <w:sz w:val="19"/>
        </w:rPr>
        <w:t>Document Reference: SNT-EXEC-2026-V1</w:t>
      </w:r>
      <w:r>
        <w:rPr>
          <w:rFonts w:ascii="Arial" w:hAnsi="Arial"/>
          <w:color w:val="1E293B"/>
          <w:sz w:val="19"/>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