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3B39" w14:textId="3DE0DD45" w:rsidR="005F4712" w:rsidRPr="00047792" w:rsidRDefault="00000000">
      <w:pPr>
        <w:spacing w:before="1400"/>
        <w:jc w:val="center"/>
        <w:rPr>
          <w:color w:val="1F497D" w:themeColor="text2"/>
        </w:rPr>
      </w:pPr>
      <w:r>
        <w:rPr>
          <w:b/>
          <w:color w:val="1F4E79"/>
          <w:sz w:val="36"/>
        </w:rPr>
        <w:t>ECA56</w:t>
      </w:r>
      <w:r w:rsidR="00047792">
        <w:rPr>
          <w:b/>
          <w:color w:val="1F497D" w:themeColor="text2"/>
          <w:sz w:val="36"/>
        </w:rPr>
        <w:t>04</w:t>
      </w:r>
    </w:p>
    <w:p w14:paraId="38C1D6D8" w14:textId="68FCD0CA" w:rsidR="005F4712" w:rsidRDefault="00047792">
      <w:pPr>
        <w:jc w:val="center"/>
      </w:pPr>
      <w:r>
        <w:rPr>
          <w:b/>
          <w:color w:val="17365D"/>
          <w:sz w:val="48"/>
        </w:rPr>
        <w:t xml:space="preserve">5G/6G </w:t>
      </w:r>
      <w:r w:rsidR="00000000">
        <w:rPr>
          <w:b/>
          <w:color w:val="17365D"/>
          <w:sz w:val="48"/>
        </w:rPr>
        <w:t>ADVANCED WIRELESS</w:t>
      </w:r>
      <w:r w:rsidR="00000000">
        <w:rPr>
          <w:b/>
          <w:color w:val="17365D"/>
          <w:sz w:val="48"/>
        </w:rPr>
        <w:br/>
        <w:t>COMMUNICATION SYSTEMS</w:t>
      </w:r>
    </w:p>
    <w:p w14:paraId="7F5BEDD6" w14:textId="77777777" w:rsidR="005F4712" w:rsidRDefault="00000000">
      <w:pPr>
        <w:jc w:val="center"/>
      </w:pPr>
      <w:r>
        <w:rPr>
          <w:b/>
          <w:color w:val="1F4E79"/>
          <w:sz w:val="32"/>
        </w:rPr>
        <w:t>CO1 INTEGRATED ENGINEERING ANALYSIS</w:t>
      </w:r>
      <w:r>
        <w:rPr>
          <w:b/>
          <w:color w:val="1F4E79"/>
          <w:sz w:val="32"/>
        </w:rPr>
        <w:br/>
        <w:t>AND PLANNING ASSIGNMENT</w:t>
      </w:r>
    </w:p>
    <w:p w14:paraId="04C034FD" w14:textId="77777777" w:rsidR="005F4712" w:rsidRDefault="00000000">
      <w:pPr>
        <w:spacing w:before="360"/>
        <w:jc w:val="center"/>
      </w:pPr>
      <w:r>
        <w:rPr>
          <w:sz w:val="26"/>
        </w:rPr>
        <w:t>Evolution, Cellular Planning, Spectrum Use</w:t>
      </w:r>
      <w:r>
        <w:rPr>
          <w:sz w:val="26"/>
        </w:rPr>
        <w:br/>
        <w:t>and Interference Management</w:t>
      </w:r>
    </w:p>
    <w:p w14:paraId="5CBD8654" w14:textId="77777777" w:rsidR="005F4712" w:rsidRDefault="00000000">
      <w:r>
        <w:br/>
      </w:r>
    </w:p>
    <w:tbl>
      <w:tblPr>
        <w:tblStyle w:val="TableGrid"/>
        <w:tblW w:w="0" w:type="auto"/>
        <w:jc w:val="center"/>
        <w:tblLook w:val="04A0" w:firstRow="1" w:lastRow="0" w:firstColumn="1" w:lastColumn="0" w:noHBand="0" w:noVBand="1"/>
      </w:tblPr>
      <w:tblGrid>
        <w:gridCol w:w="2880"/>
        <w:gridCol w:w="6192"/>
      </w:tblGrid>
      <w:tr w:rsidR="005F4712" w14:paraId="553BC7FE" w14:textId="77777777">
        <w:trPr>
          <w:cantSplit/>
          <w:jc w:val="center"/>
        </w:trPr>
        <w:tc>
          <w:tcPr>
            <w:tcW w:w="2880" w:type="dxa"/>
            <w:shd w:val="clear" w:color="auto" w:fill="17365D"/>
            <w:vAlign w:val="center"/>
          </w:tcPr>
          <w:p w14:paraId="6DD73C19" w14:textId="77777777" w:rsidR="005F4712" w:rsidRDefault="00000000">
            <w:pPr>
              <w:spacing w:after="0"/>
            </w:pPr>
            <w:r>
              <w:rPr>
                <w:b/>
                <w:color w:val="FFFFFF"/>
                <w:sz w:val="18"/>
              </w:rPr>
              <w:t>Submission detail</w:t>
            </w:r>
          </w:p>
        </w:tc>
        <w:tc>
          <w:tcPr>
            <w:tcW w:w="6192" w:type="dxa"/>
            <w:shd w:val="clear" w:color="auto" w:fill="17365D"/>
            <w:vAlign w:val="center"/>
          </w:tcPr>
          <w:p w14:paraId="75298763" w14:textId="77777777" w:rsidR="005F4712" w:rsidRDefault="00000000">
            <w:pPr>
              <w:spacing w:after="0"/>
            </w:pPr>
            <w:r>
              <w:rPr>
                <w:b/>
                <w:color w:val="FFFFFF"/>
                <w:sz w:val="18"/>
              </w:rPr>
              <w:t>Information</w:t>
            </w:r>
          </w:p>
        </w:tc>
      </w:tr>
      <w:tr w:rsidR="005F4712" w14:paraId="7CD05F59" w14:textId="77777777">
        <w:trPr>
          <w:cantSplit/>
          <w:jc w:val="center"/>
        </w:trPr>
        <w:tc>
          <w:tcPr>
            <w:tcW w:w="2880" w:type="dxa"/>
            <w:shd w:val="clear" w:color="auto" w:fill="F2F6FA"/>
            <w:vAlign w:val="center"/>
          </w:tcPr>
          <w:p w14:paraId="71742BD2" w14:textId="77777777" w:rsidR="005F4712" w:rsidRDefault="00000000">
            <w:pPr>
              <w:spacing w:after="0"/>
            </w:pPr>
            <w:r>
              <w:rPr>
                <w:sz w:val="18"/>
              </w:rPr>
              <w:t>Student name</w:t>
            </w:r>
          </w:p>
        </w:tc>
        <w:tc>
          <w:tcPr>
            <w:tcW w:w="6192" w:type="dxa"/>
            <w:shd w:val="clear" w:color="auto" w:fill="F2F6FA"/>
            <w:vAlign w:val="center"/>
          </w:tcPr>
          <w:p w14:paraId="10C1FB3F" w14:textId="0904687C" w:rsidR="005F4712" w:rsidRDefault="00000000">
            <w:pPr>
              <w:spacing w:after="0"/>
            </w:pPr>
            <w:r>
              <w:rPr>
                <w:sz w:val="18"/>
              </w:rPr>
              <w:t>____</w:t>
            </w:r>
            <w:r w:rsidR="00047792">
              <w:rPr>
                <w:sz w:val="18"/>
              </w:rPr>
              <w:t>Dhayaaparan V</w:t>
            </w:r>
            <w:r>
              <w:rPr>
                <w:sz w:val="18"/>
              </w:rPr>
              <w:t>____________________________________</w:t>
            </w:r>
          </w:p>
        </w:tc>
      </w:tr>
      <w:tr w:rsidR="005F4712" w14:paraId="28BE649A" w14:textId="77777777">
        <w:trPr>
          <w:cantSplit/>
          <w:jc w:val="center"/>
        </w:trPr>
        <w:tc>
          <w:tcPr>
            <w:tcW w:w="2880" w:type="dxa"/>
            <w:vAlign w:val="center"/>
          </w:tcPr>
          <w:p w14:paraId="60E6D3C3" w14:textId="77777777" w:rsidR="005F4712" w:rsidRDefault="00000000">
            <w:pPr>
              <w:spacing w:after="0"/>
            </w:pPr>
            <w:r>
              <w:rPr>
                <w:sz w:val="18"/>
              </w:rPr>
              <w:t>Register number</w:t>
            </w:r>
          </w:p>
        </w:tc>
        <w:tc>
          <w:tcPr>
            <w:tcW w:w="6192" w:type="dxa"/>
            <w:vAlign w:val="center"/>
          </w:tcPr>
          <w:p w14:paraId="1256D88D" w14:textId="327671B5" w:rsidR="005F4712" w:rsidRDefault="00000000">
            <w:pPr>
              <w:spacing w:after="0"/>
            </w:pPr>
            <w:r>
              <w:rPr>
                <w:sz w:val="18"/>
              </w:rPr>
              <w:t>___</w:t>
            </w:r>
            <w:r w:rsidR="00047792">
              <w:rPr>
                <w:sz w:val="18"/>
              </w:rPr>
              <w:t>1912260636</w:t>
            </w:r>
            <w:r>
              <w:rPr>
                <w:sz w:val="18"/>
              </w:rPr>
              <w:t>_________________________________</w:t>
            </w:r>
          </w:p>
        </w:tc>
      </w:tr>
      <w:tr w:rsidR="005F4712" w14:paraId="057183C8" w14:textId="77777777">
        <w:trPr>
          <w:cantSplit/>
          <w:jc w:val="center"/>
        </w:trPr>
        <w:tc>
          <w:tcPr>
            <w:tcW w:w="2880" w:type="dxa"/>
            <w:shd w:val="clear" w:color="auto" w:fill="F2F6FA"/>
            <w:vAlign w:val="center"/>
          </w:tcPr>
          <w:p w14:paraId="2B263772" w14:textId="77777777" w:rsidR="005F4712" w:rsidRDefault="00000000">
            <w:pPr>
              <w:spacing w:after="0"/>
            </w:pPr>
            <w:r>
              <w:rPr>
                <w:sz w:val="18"/>
              </w:rPr>
              <w:t>Department / Year</w:t>
            </w:r>
          </w:p>
        </w:tc>
        <w:tc>
          <w:tcPr>
            <w:tcW w:w="6192" w:type="dxa"/>
            <w:shd w:val="clear" w:color="auto" w:fill="F2F6FA"/>
            <w:vAlign w:val="center"/>
          </w:tcPr>
          <w:p w14:paraId="7429DF89" w14:textId="4D62BCC6" w:rsidR="005F4712" w:rsidRDefault="00000000">
            <w:pPr>
              <w:spacing w:after="0"/>
            </w:pPr>
            <w:r>
              <w:rPr>
                <w:sz w:val="18"/>
              </w:rPr>
              <w:t>____</w:t>
            </w:r>
            <w:r w:rsidR="00047792">
              <w:rPr>
                <w:sz w:val="18"/>
              </w:rPr>
              <w:t>B.Tech (ECE)/ 1rst year</w:t>
            </w:r>
            <w:r>
              <w:rPr>
                <w:sz w:val="18"/>
              </w:rPr>
              <w:t>____________________________________</w:t>
            </w:r>
          </w:p>
        </w:tc>
      </w:tr>
      <w:tr w:rsidR="005F4712" w14:paraId="0EDAD10B" w14:textId="77777777">
        <w:trPr>
          <w:cantSplit/>
          <w:jc w:val="center"/>
        </w:trPr>
        <w:tc>
          <w:tcPr>
            <w:tcW w:w="2880" w:type="dxa"/>
            <w:vAlign w:val="center"/>
          </w:tcPr>
          <w:p w14:paraId="6ED9509E" w14:textId="77777777" w:rsidR="005F4712" w:rsidRDefault="00000000">
            <w:pPr>
              <w:spacing w:after="0"/>
            </w:pPr>
            <w:r>
              <w:rPr>
                <w:sz w:val="18"/>
              </w:rPr>
              <w:t>Faculty name</w:t>
            </w:r>
          </w:p>
        </w:tc>
        <w:tc>
          <w:tcPr>
            <w:tcW w:w="6192" w:type="dxa"/>
            <w:vAlign w:val="center"/>
          </w:tcPr>
          <w:p w14:paraId="21F6A9BF" w14:textId="29703694" w:rsidR="005F4712" w:rsidRDefault="00000000">
            <w:pPr>
              <w:spacing w:after="0"/>
            </w:pPr>
            <w:r>
              <w:rPr>
                <w:sz w:val="18"/>
              </w:rPr>
              <w:t>____</w:t>
            </w:r>
            <w:r w:rsidR="00047792">
              <w:rPr>
                <w:sz w:val="18"/>
              </w:rPr>
              <w:t>Dr. Kalaiarasai</w:t>
            </w:r>
            <w:r>
              <w:rPr>
                <w:sz w:val="18"/>
              </w:rPr>
              <w:t>________________________________</w:t>
            </w:r>
          </w:p>
        </w:tc>
      </w:tr>
      <w:tr w:rsidR="005F4712" w14:paraId="3B67BF1F" w14:textId="77777777">
        <w:trPr>
          <w:cantSplit/>
          <w:jc w:val="center"/>
        </w:trPr>
        <w:tc>
          <w:tcPr>
            <w:tcW w:w="2880" w:type="dxa"/>
            <w:shd w:val="clear" w:color="auto" w:fill="F2F6FA"/>
            <w:vAlign w:val="center"/>
          </w:tcPr>
          <w:p w14:paraId="7B923F80" w14:textId="77777777" w:rsidR="005F4712" w:rsidRDefault="00000000">
            <w:pPr>
              <w:spacing w:after="0"/>
            </w:pPr>
            <w:r>
              <w:rPr>
                <w:sz w:val="18"/>
              </w:rPr>
              <w:t>Submission date</w:t>
            </w:r>
          </w:p>
        </w:tc>
        <w:tc>
          <w:tcPr>
            <w:tcW w:w="6192" w:type="dxa"/>
            <w:shd w:val="clear" w:color="auto" w:fill="F2F6FA"/>
            <w:vAlign w:val="center"/>
          </w:tcPr>
          <w:p w14:paraId="349B0DA8" w14:textId="63372783" w:rsidR="005F4712" w:rsidRDefault="00000000">
            <w:pPr>
              <w:spacing w:after="0"/>
            </w:pPr>
            <w:r>
              <w:rPr>
                <w:sz w:val="18"/>
              </w:rPr>
              <w:t>____</w:t>
            </w:r>
            <w:r w:rsidR="00047792">
              <w:rPr>
                <w:sz w:val="18"/>
              </w:rPr>
              <w:t>28/10/2026</w:t>
            </w:r>
            <w:r>
              <w:rPr>
                <w:sz w:val="18"/>
              </w:rPr>
              <w:t>____________________________________</w:t>
            </w:r>
          </w:p>
        </w:tc>
      </w:tr>
    </w:tbl>
    <w:p w14:paraId="161BE0FB" w14:textId="77777777" w:rsidR="005F4712" w:rsidRDefault="005F4712"/>
    <w:p w14:paraId="4692B30F" w14:textId="77777777" w:rsidR="005F4712" w:rsidRDefault="00000000">
      <w:pPr>
        <w:spacing w:before="480"/>
        <w:jc w:val="center"/>
      </w:pPr>
      <w:r>
        <w:rPr>
          <w:i/>
          <w:color w:val="5A5A5A"/>
        </w:rPr>
        <w:t>Prepared as an evidence-based engineering design report</w:t>
      </w:r>
    </w:p>
    <w:p w14:paraId="04EC10EF" w14:textId="77777777" w:rsidR="005F4712" w:rsidRDefault="00000000">
      <w:r>
        <w:br w:type="page"/>
      </w:r>
    </w:p>
    <w:p w14:paraId="6F524310" w14:textId="77777777" w:rsidR="005F4712" w:rsidRDefault="00000000">
      <w:pPr>
        <w:pStyle w:val="Heading1"/>
      </w:pPr>
      <w:r>
        <w:lastRenderedPageBreak/>
        <w:t>Executive Summary</w:t>
      </w:r>
    </w:p>
    <w:p w14:paraId="41E3BD64" w14:textId="77777777" w:rsidR="005F4712" w:rsidRDefault="00000000">
      <w:r>
        <w:t>This report evaluates a regional mobile operator’s next-stage network using the planning data supplied in the C01 assignment. It connects the evolution of mobile communication from 1G to the 6G vision with cell geometry, frequency reuse, busy-hour traffic, handoff behaviour, interference, spectrum propagation and international coordination.</w:t>
      </w:r>
    </w:p>
    <w:p w14:paraId="58E5737A" w14:textId="77777777" w:rsidR="005F4712" w:rsidRDefault="00000000">
      <w:r>
        <w:t>The ideal hexagonal cell area is 10.392 km² and the 19-cell geometric cluster area is approximately 197.45 km². With reuse cluster size N = 7, the reuse fraction is 1/7 (14.29%) and the reuse distance is approximately 9.17 km. The planning area offers 80 Erlangs of busy-hour traffic. Erlang B analysis gives a blocking probability of approximately 0.399% for 100 channels; 92 channels are the minimum to satisfy the 2% target under the stated model.</w:t>
      </w:r>
    </w:p>
    <w:p w14:paraId="758BFA77" w14:textId="77777777" w:rsidR="005F4712" w:rsidRDefault="00000000">
      <w:r>
        <w:t>At 60 km/h, a mobile travels approximately 100 m during the six-second overlap interval. Under the stated 1 km route-cell interpretation, the estimated handoff rate is about one per minute. Combining the two specified interference sources gives approximately −83.81 dBm total interference and an interference-limited SINR of 13.81 dB, below the 15 dB target. The recommended strategy is a phased, measurement-led deployment: validate demand and coverage, use lower-band spectrum for broad coverage, add mid-band capacity where traffic requires it, optimize antennas and handoff parameters, and deploy 28 GHz selectively at suitable high-capacity hotspots.</w:t>
      </w:r>
    </w:p>
    <w:p w14:paraId="16149DB2" w14:textId="77777777" w:rsidR="005F4712" w:rsidRDefault="00000000">
      <w:r>
        <w:t>These calculations are first-order planning estimates. Before deployment, the operator should validate actual traffic distribution, spectrum availability, propagation, noise, site constraints, antenna configuration, and handoff failure statistics.</w:t>
      </w:r>
    </w:p>
    <w:p w14:paraId="2FF26FE2" w14:textId="77777777" w:rsidR="005F4712" w:rsidRDefault="00000000">
      <w:pPr>
        <w:pStyle w:val="Heading1"/>
      </w:pPr>
      <w:r>
        <w:t>Contents</w:t>
      </w:r>
    </w:p>
    <w:p w14:paraId="02BB101D" w14:textId="77777777" w:rsidR="005F4712" w:rsidRDefault="00000000">
      <w:pPr>
        <w:pStyle w:val="ListBullet"/>
      </w:pPr>
      <w:r>
        <w:t>1. Requirements and Planning Data</w:t>
      </w:r>
    </w:p>
    <w:p w14:paraId="5D65E84C" w14:textId="77777777" w:rsidR="005F4712" w:rsidRDefault="00000000">
      <w:pPr>
        <w:pStyle w:val="ListBullet"/>
      </w:pPr>
      <w:r>
        <w:t>2. Stage 1 – Evolution of Mobile Systems</w:t>
      </w:r>
    </w:p>
    <w:p w14:paraId="298D9B8E" w14:textId="77777777" w:rsidR="005F4712" w:rsidRDefault="00000000">
      <w:pPr>
        <w:pStyle w:val="ListBullet"/>
      </w:pPr>
      <w:r>
        <w:t>3. Stage 2 – Cell Coverage and Frequency Reuse</w:t>
      </w:r>
    </w:p>
    <w:p w14:paraId="38956F4D" w14:textId="77777777" w:rsidR="005F4712" w:rsidRDefault="00000000">
      <w:pPr>
        <w:pStyle w:val="ListBullet"/>
      </w:pPr>
      <w:r>
        <w:t>4. Stage 3 – Traffic and Channel Capacity</w:t>
      </w:r>
    </w:p>
    <w:p w14:paraId="57DBB935" w14:textId="77777777" w:rsidR="005F4712" w:rsidRDefault="00000000">
      <w:pPr>
        <w:pStyle w:val="ListBullet"/>
      </w:pPr>
      <w:r>
        <w:t>5. Stage 4 – Mobility and Handoff</w:t>
      </w:r>
    </w:p>
    <w:p w14:paraId="235D1719" w14:textId="77777777" w:rsidR="005F4712" w:rsidRDefault="00000000">
      <w:pPr>
        <w:pStyle w:val="ListBullet"/>
      </w:pPr>
      <w:r>
        <w:t>6. Stage 5 – Interference and Spectrum-Band Comparison</w:t>
      </w:r>
    </w:p>
    <w:p w14:paraId="454BE2B0" w14:textId="77777777" w:rsidR="005F4712" w:rsidRDefault="00000000">
      <w:pPr>
        <w:pStyle w:val="ListBullet"/>
      </w:pPr>
      <w:r>
        <w:t>7. Stage 6 – International Spectrum Coordination</w:t>
      </w:r>
    </w:p>
    <w:p w14:paraId="0B445428" w14:textId="77777777" w:rsidR="005F4712" w:rsidRDefault="00000000">
      <w:pPr>
        <w:pStyle w:val="ListBullet"/>
      </w:pPr>
      <w:r>
        <w:t>8. Integrated Deployment Recommendation</w:t>
      </w:r>
    </w:p>
    <w:p w14:paraId="575D2A51" w14:textId="77777777" w:rsidR="005F4712" w:rsidRDefault="00000000">
      <w:pPr>
        <w:pStyle w:val="ListBullet"/>
      </w:pPr>
      <w:r>
        <w:t>9. Assumptions, Limitations and Further Validation</w:t>
      </w:r>
    </w:p>
    <w:p w14:paraId="2C2D5093" w14:textId="77777777" w:rsidR="005F4712" w:rsidRDefault="00000000">
      <w:pPr>
        <w:pStyle w:val="ListBullet"/>
      </w:pPr>
      <w:r>
        <w:t>10. Conclusion</w:t>
      </w:r>
    </w:p>
    <w:p w14:paraId="6178E780" w14:textId="77777777" w:rsidR="005F4712" w:rsidRDefault="00000000">
      <w:pPr>
        <w:pStyle w:val="ListBullet"/>
      </w:pPr>
      <w:r>
        <w:t>References</w:t>
      </w:r>
    </w:p>
    <w:p w14:paraId="7655FA01" w14:textId="77777777" w:rsidR="005F4712" w:rsidRDefault="00000000">
      <w:r>
        <w:br w:type="page"/>
      </w:r>
    </w:p>
    <w:p w14:paraId="5B64F6C4" w14:textId="77777777" w:rsidR="005F4712" w:rsidRDefault="00000000">
      <w:pPr>
        <w:pStyle w:val="Heading1"/>
      </w:pPr>
      <w:r>
        <w:lastRenderedPageBreak/>
        <w:t>1. Requirements and Planning Data</w:t>
      </w:r>
    </w:p>
    <w:p w14:paraId="4B5BA787" w14:textId="77777777" w:rsidR="005F4712" w:rsidRDefault="00000000">
      <w:r>
        <w:t>The engineering task is to prepare an evidence-based report for a regional wireless operator. The report must explain the evolution of mobile systems from 1G through the 6G vision and analyze cellular layout, traffic demand, mobility, spectrum and interference. Numerical results must be accompanied by assumptions and engineering interpretation.</w:t>
      </w:r>
    </w:p>
    <w:tbl>
      <w:tblPr>
        <w:tblStyle w:val="TableGrid"/>
        <w:tblW w:w="0" w:type="auto"/>
        <w:jc w:val="center"/>
        <w:tblLook w:val="04A0" w:firstRow="1" w:lastRow="0" w:firstColumn="1" w:lastColumn="0" w:noHBand="0" w:noVBand="1"/>
      </w:tblPr>
      <w:tblGrid>
        <w:gridCol w:w="2880"/>
        <w:gridCol w:w="6192"/>
      </w:tblGrid>
      <w:tr w:rsidR="005F4712" w14:paraId="349DB36D" w14:textId="77777777">
        <w:trPr>
          <w:cantSplit/>
          <w:jc w:val="center"/>
        </w:trPr>
        <w:tc>
          <w:tcPr>
            <w:tcW w:w="2880" w:type="dxa"/>
            <w:shd w:val="clear" w:color="auto" w:fill="17365D"/>
            <w:vAlign w:val="center"/>
          </w:tcPr>
          <w:p w14:paraId="1636B638" w14:textId="77777777" w:rsidR="005F4712" w:rsidRDefault="00000000">
            <w:pPr>
              <w:spacing w:after="0"/>
            </w:pPr>
            <w:r>
              <w:rPr>
                <w:b/>
                <w:color w:val="FFFFFF"/>
                <w:sz w:val="18"/>
              </w:rPr>
              <w:t>Planning item</w:t>
            </w:r>
          </w:p>
        </w:tc>
        <w:tc>
          <w:tcPr>
            <w:tcW w:w="6192" w:type="dxa"/>
            <w:shd w:val="clear" w:color="auto" w:fill="17365D"/>
            <w:vAlign w:val="center"/>
          </w:tcPr>
          <w:p w14:paraId="4BF94375" w14:textId="77777777" w:rsidR="005F4712" w:rsidRDefault="00000000">
            <w:pPr>
              <w:spacing w:after="0"/>
            </w:pPr>
            <w:r>
              <w:rPr>
                <w:b/>
                <w:color w:val="FFFFFF"/>
                <w:sz w:val="18"/>
              </w:rPr>
              <w:t>Supplied value</w:t>
            </w:r>
          </w:p>
        </w:tc>
      </w:tr>
      <w:tr w:rsidR="005F4712" w14:paraId="7509DA4C" w14:textId="77777777">
        <w:trPr>
          <w:cantSplit/>
          <w:jc w:val="center"/>
        </w:trPr>
        <w:tc>
          <w:tcPr>
            <w:tcW w:w="2880" w:type="dxa"/>
            <w:shd w:val="clear" w:color="auto" w:fill="F2F6FA"/>
            <w:vAlign w:val="center"/>
          </w:tcPr>
          <w:p w14:paraId="20F920DC" w14:textId="77777777" w:rsidR="005F4712" w:rsidRDefault="00000000">
            <w:pPr>
              <w:spacing w:after="0"/>
            </w:pPr>
            <w:r>
              <w:rPr>
                <w:sz w:val="18"/>
              </w:rPr>
              <w:t>Cell geometry</w:t>
            </w:r>
          </w:p>
        </w:tc>
        <w:tc>
          <w:tcPr>
            <w:tcW w:w="6192" w:type="dxa"/>
            <w:shd w:val="clear" w:color="auto" w:fill="F2F6FA"/>
            <w:vAlign w:val="center"/>
          </w:tcPr>
          <w:p w14:paraId="106E5D9C" w14:textId="77777777" w:rsidR="005F4712" w:rsidRDefault="00000000">
            <w:pPr>
              <w:spacing w:after="0"/>
            </w:pPr>
            <w:r>
              <w:rPr>
                <w:sz w:val="18"/>
              </w:rPr>
              <w:t>Hexagonal model; radius r = 2 km</w:t>
            </w:r>
          </w:p>
        </w:tc>
      </w:tr>
      <w:tr w:rsidR="005F4712" w14:paraId="652255A3" w14:textId="77777777">
        <w:trPr>
          <w:cantSplit/>
          <w:jc w:val="center"/>
        </w:trPr>
        <w:tc>
          <w:tcPr>
            <w:tcW w:w="2880" w:type="dxa"/>
            <w:vAlign w:val="center"/>
          </w:tcPr>
          <w:p w14:paraId="16089165" w14:textId="77777777" w:rsidR="005F4712" w:rsidRDefault="00000000">
            <w:pPr>
              <w:spacing w:after="0"/>
            </w:pPr>
            <w:r>
              <w:rPr>
                <w:sz w:val="18"/>
              </w:rPr>
              <w:t>Planning cluster</w:t>
            </w:r>
          </w:p>
        </w:tc>
        <w:tc>
          <w:tcPr>
            <w:tcW w:w="6192" w:type="dxa"/>
            <w:vAlign w:val="center"/>
          </w:tcPr>
          <w:p w14:paraId="61BE85DD" w14:textId="77777777" w:rsidR="005F4712" w:rsidRDefault="00000000">
            <w:pPr>
              <w:spacing w:after="0"/>
            </w:pPr>
            <w:r>
              <w:rPr>
                <w:sz w:val="18"/>
              </w:rPr>
              <w:t>19 cells; reuse cluster size N = 7</w:t>
            </w:r>
          </w:p>
        </w:tc>
      </w:tr>
      <w:tr w:rsidR="005F4712" w14:paraId="0521FB17" w14:textId="77777777">
        <w:trPr>
          <w:cantSplit/>
          <w:jc w:val="center"/>
        </w:trPr>
        <w:tc>
          <w:tcPr>
            <w:tcW w:w="2880" w:type="dxa"/>
            <w:shd w:val="clear" w:color="auto" w:fill="F2F6FA"/>
            <w:vAlign w:val="center"/>
          </w:tcPr>
          <w:p w14:paraId="713C2CB2" w14:textId="77777777" w:rsidR="005F4712" w:rsidRDefault="00000000">
            <w:pPr>
              <w:spacing w:after="0"/>
            </w:pPr>
            <w:r>
              <w:rPr>
                <w:sz w:val="18"/>
              </w:rPr>
              <w:t>Traffic demand</w:t>
            </w:r>
          </w:p>
        </w:tc>
        <w:tc>
          <w:tcPr>
            <w:tcW w:w="6192" w:type="dxa"/>
            <w:shd w:val="clear" w:color="auto" w:fill="F2F6FA"/>
            <w:vAlign w:val="center"/>
          </w:tcPr>
          <w:p w14:paraId="2C8BAABE" w14:textId="77777777" w:rsidR="005F4712" w:rsidRDefault="00000000">
            <w:pPr>
              <w:spacing w:after="0"/>
            </w:pPr>
            <w:r>
              <w:rPr>
                <w:sz w:val="18"/>
              </w:rPr>
              <w:t>1,000 subscribers; 0.08 Erlang per subscriber in busy hour</w:t>
            </w:r>
          </w:p>
        </w:tc>
      </w:tr>
      <w:tr w:rsidR="005F4712" w14:paraId="2FBF862B" w14:textId="77777777">
        <w:trPr>
          <w:cantSplit/>
          <w:jc w:val="center"/>
        </w:trPr>
        <w:tc>
          <w:tcPr>
            <w:tcW w:w="2880" w:type="dxa"/>
            <w:vAlign w:val="center"/>
          </w:tcPr>
          <w:p w14:paraId="03AA6073" w14:textId="77777777" w:rsidR="005F4712" w:rsidRDefault="00000000">
            <w:pPr>
              <w:spacing w:after="0"/>
            </w:pPr>
            <w:r>
              <w:rPr>
                <w:sz w:val="18"/>
              </w:rPr>
              <w:t>Initial channel group</w:t>
            </w:r>
          </w:p>
        </w:tc>
        <w:tc>
          <w:tcPr>
            <w:tcW w:w="6192" w:type="dxa"/>
            <w:vAlign w:val="center"/>
          </w:tcPr>
          <w:p w14:paraId="3A42CD02" w14:textId="77777777" w:rsidR="005F4712" w:rsidRDefault="00000000">
            <w:pPr>
              <w:spacing w:after="0"/>
            </w:pPr>
            <w:r>
              <w:rPr>
                <w:sz w:val="18"/>
              </w:rPr>
              <w:t>C = 100 traffic channels</w:t>
            </w:r>
          </w:p>
        </w:tc>
      </w:tr>
      <w:tr w:rsidR="005F4712" w14:paraId="6C096CB1" w14:textId="77777777">
        <w:trPr>
          <w:cantSplit/>
          <w:jc w:val="center"/>
        </w:trPr>
        <w:tc>
          <w:tcPr>
            <w:tcW w:w="2880" w:type="dxa"/>
            <w:shd w:val="clear" w:color="auto" w:fill="F2F6FA"/>
            <w:vAlign w:val="center"/>
          </w:tcPr>
          <w:p w14:paraId="618ADB30" w14:textId="77777777" w:rsidR="005F4712" w:rsidRDefault="00000000">
            <w:pPr>
              <w:spacing w:after="0"/>
            </w:pPr>
            <w:r>
              <w:rPr>
                <w:sz w:val="18"/>
              </w:rPr>
              <w:t>Blocking target</w:t>
            </w:r>
          </w:p>
        </w:tc>
        <w:tc>
          <w:tcPr>
            <w:tcW w:w="6192" w:type="dxa"/>
            <w:shd w:val="clear" w:color="auto" w:fill="F2F6FA"/>
            <w:vAlign w:val="center"/>
          </w:tcPr>
          <w:p w14:paraId="2707A9CA" w14:textId="77777777" w:rsidR="005F4712" w:rsidRDefault="00000000">
            <w:pPr>
              <w:spacing w:after="0"/>
            </w:pPr>
            <w:r>
              <w:rPr>
                <w:sz w:val="18"/>
              </w:rPr>
              <w:t>≤ 2%</w:t>
            </w:r>
          </w:p>
        </w:tc>
      </w:tr>
      <w:tr w:rsidR="005F4712" w14:paraId="7D09F90B" w14:textId="77777777">
        <w:trPr>
          <w:cantSplit/>
          <w:jc w:val="center"/>
        </w:trPr>
        <w:tc>
          <w:tcPr>
            <w:tcW w:w="2880" w:type="dxa"/>
            <w:vAlign w:val="center"/>
          </w:tcPr>
          <w:p w14:paraId="409BB8FD" w14:textId="77777777" w:rsidR="005F4712" w:rsidRDefault="00000000">
            <w:pPr>
              <w:spacing w:after="0"/>
            </w:pPr>
            <w:r>
              <w:rPr>
                <w:sz w:val="18"/>
              </w:rPr>
              <w:t>Mobility</w:t>
            </w:r>
          </w:p>
        </w:tc>
        <w:tc>
          <w:tcPr>
            <w:tcW w:w="6192" w:type="dxa"/>
            <w:vAlign w:val="center"/>
          </w:tcPr>
          <w:p w14:paraId="311490F6" w14:textId="77777777" w:rsidR="005F4712" w:rsidRDefault="00000000">
            <w:pPr>
              <w:spacing w:after="0"/>
            </w:pPr>
            <w:r>
              <w:rPr>
                <w:sz w:val="18"/>
              </w:rPr>
              <w:t>60 km/h; overlap dwell time = 6 s</w:t>
            </w:r>
          </w:p>
        </w:tc>
      </w:tr>
      <w:tr w:rsidR="005F4712" w14:paraId="1A5B7130" w14:textId="77777777">
        <w:trPr>
          <w:cantSplit/>
          <w:jc w:val="center"/>
        </w:trPr>
        <w:tc>
          <w:tcPr>
            <w:tcW w:w="2880" w:type="dxa"/>
            <w:shd w:val="clear" w:color="auto" w:fill="F2F6FA"/>
            <w:vAlign w:val="center"/>
          </w:tcPr>
          <w:p w14:paraId="02A4065F" w14:textId="77777777" w:rsidR="005F4712" w:rsidRDefault="00000000">
            <w:pPr>
              <w:spacing w:after="0"/>
            </w:pPr>
            <w:r>
              <w:rPr>
                <w:sz w:val="18"/>
              </w:rPr>
              <w:t>Route cell length</w:t>
            </w:r>
          </w:p>
        </w:tc>
        <w:tc>
          <w:tcPr>
            <w:tcW w:w="6192" w:type="dxa"/>
            <w:shd w:val="clear" w:color="auto" w:fill="F2F6FA"/>
            <w:vAlign w:val="center"/>
          </w:tcPr>
          <w:p w14:paraId="69952939" w14:textId="77777777" w:rsidR="005F4712" w:rsidRDefault="00000000">
            <w:pPr>
              <w:spacing w:after="0"/>
            </w:pPr>
            <w:r>
              <w:rPr>
                <w:sz w:val="18"/>
              </w:rPr>
              <w:t>1 km nominal</w:t>
            </w:r>
          </w:p>
        </w:tc>
      </w:tr>
      <w:tr w:rsidR="005F4712" w14:paraId="68F1C308" w14:textId="77777777">
        <w:trPr>
          <w:cantSplit/>
          <w:jc w:val="center"/>
        </w:trPr>
        <w:tc>
          <w:tcPr>
            <w:tcW w:w="2880" w:type="dxa"/>
            <w:vAlign w:val="center"/>
          </w:tcPr>
          <w:p w14:paraId="4112041F" w14:textId="77777777" w:rsidR="005F4712" w:rsidRDefault="00000000">
            <w:pPr>
              <w:spacing w:after="0"/>
            </w:pPr>
            <w:r>
              <w:rPr>
                <w:sz w:val="18"/>
              </w:rPr>
              <w:t>Handoff interruption</w:t>
            </w:r>
          </w:p>
        </w:tc>
        <w:tc>
          <w:tcPr>
            <w:tcW w:w="6192" w:type="dxa"/>
            <w:vAlign w:val="center"/>
          </w:tcPr>
          <w:p w14:paraId="6B34F040" w14:textId="77777777" w:rsidR="005F4712" w:rsidRDefault="00000000">
            <w:pPr>
              <w:spacing w:after="0"/>
            </w:pPr>
            <w:r>
              <w:rPr>
                <w:sz w:val="18"/>
              </w:rPr>
              <w:t>0.5 s</w:t>
            </w:r>
          </w:p>
        </w:tc>
      </w:tr>
      <w:tr w:rsidR="005F4712" w14:paraId="58BE44E7" w14:textId="77777777">
        <w:trPr>
          <w:cantSplit/>
          <w:jc w:val="center"/>
        </w:trPr>
        <w:tc>
          <w:tcPr>
            <w:tcW w:w="2880" w:type="dxa"/>
            <w:shd w:val="clear" w:color="auto" w:fill="F2F6FA"/>
            <w:vAlign w:val="center"/>
          </w:tcPr>
          <w:p w14:paraId="1DD3E672" w14:textId="77777777" w:rsidR="005F4712" w:rsidRDefault="00000000">
            <w:pPr>
              <w:spacing w:after="0"/>
            </w:pPr>
            <w:r>
              <w:rPr>
                <w:sz w:val="18"/>
              </w:rPr>
              <w:t>Target-cell unavailability</w:t>
            </w:r>
          </w:p>
        </w:tc>
        <w:tc>
          <w:tcPr>
            <w:tcW w:w="6192" w:type="dxa"/>
            <w:shd w:val="clear" w:color="auto" w:fill="F2F6FA"/>
            <w:vAlign w:val="center"/>
          </w:tcPr>
          <w:p w14:paraId="653C6367" w14:textId="77777777" w:rsidR="005F4712" w:rsidRDefault="00000000">
            <w:pPr>
              <w:spacing w:after="0"/>
            </w:pPr>
            <w:r>
              <w:rPr>
                <w:sz w:val="18"/>
              </w:rPr>
              <w:t>1%</w:t>
            </w:r>
          </w:p>
        </w:tc>
      </w:tr>
      <w:tr w:rsidR="005F4712" w14:paraId="0EF97977" w14:textId="77777777">
        <w:trPr>
          <w:cantSplit/>
          <w:jc w:val="center"/>
        </w:trPr>
        <w:tc>
          <w:tcPr>
            <w:tcW w:w="2880" w:type="dxa"/>
            <w:vAlign w:val="center"/>
          </w:tcPr>
          <w:p w14:paraId="16662DA2" w14:textId="77777777" w:rsidR="005F4712" w:rsidRDefault="00000000">
            <w:pPr>
              <w:spacing w:after="0"/>
            </w:pPr>
            <w:r>
              <w:rPr>
                <w:sz w:val="18"/>
              </w:rPr>
              <w:t>Interference</w:t>
            </w:r>
          </w:p>
        </w:tc>
        <w:tc>
          <w:tcPr>
            <w:tcW w:w="6192" w:type="dxa"/>
            <w:vAlign w:val="center"/>
          </w:tcPr>
          <w:p w14:paraId="68F15FEA" w14:textId="77777777" w:rsidR="005F4712" w:rsidRDefault="00000000">
            <w:pPr>
              <w:spacing w:after="0"/>
            </w:pPr>
            <w:r>
              <w:rPr>
                <w:sz w:val="18"/>
              </w:rPr>
              <w:t>Desired signal S = −70 dBm; co-channel I₁ = −85 dBm; adjacent-channel I₂ = −90 dBm</w:t>
            </w:r>
          </w:p>
        </w:tc>
      </w:tr>
      <w:tr w:rsidR="005F4712" w14:paraId="33ED7845" w14:textId="77777777">
        <w:trPr>
          <w:cantSplit/>
          <w:jc w:val="center"/>
        </w:trPr>
        <w:tc>
          <w:tcPr>
            <w:tcW w:w="2880" w:type="dxa"/>
            <w:shd w:val="clear" w:color="auto" w:fill="F2F6FA"/>
            <w:vAlign w:val="center"/>
          </w:tcPr>
          <w:p w14:paraId="13B57B76" w14:textId="77777777" w:rsidR="005F4712" w:rsidRDefault="00000000">
            <w:pPr>
              <w:spacing w:after="0"/>
            </w:pPr>
            <w:r>
              <w:rPr>
                <w:sz w:val="18"/>
              </w:rPr>
              <w:t>SINR target</w:t>
            </w:r>
          </w:p>
        </w:tc>
        <w:tc>
          <w:tcPr>
            <w:tcW w:w="6192" w:type="dxa"/>
            <w:shd w:val="clear" w:color="auto" w:fill="F2F6FA"/>
            <w:vAlign w:val="center"/>
          </w:tcPr>
          <w:p w14:paraId="344E1E4E" w14:textId="77777777" w:rsidR="005F4712" w:rsidRDefault="00000000">
            <w:pPr>
              <w:spacing w:after="0"/>
            </w:pPr>
            <w:r>
              <w:rPr>
                <w:sz w:val="18"/>
              </w:rPr>
              <w:t>15 dB minimum</w:t>
            </w:r>
          </w:p>
        </w:tc>
      </w:tr>
      <w:tr w:rsidR="005F4712" w14:paraId="4EBC6A61" w14:textId="77777777">
        <w:trPr>
          <w:cantSplit/>
          <w:jc w:val="center"/>
        </w:trPr>
        <w:tc>
          <w:tcPr>
            <w:tcW w:w="2880" w:type="dxa"/>
            <w:vAlign w:val="center"/>
          </w:tcPr>
          <w:p w14:paraId="382BB20E" w14:textId="77777777" w:rsidR="005F4712" w:rsidRDefault="00000000">
            <w:pPr>
              <w:spacing w:after="0"/>
            </w:pPr>
            <w:r>
              <w:rPr>
                <w:sz w:val="18"/>
              </w:rPr>
              <w:t>Spectrum comparison</w:t>
            </w:r>
          </w:p>
        </w:tc>
        <w:tc>
          <w:tcPr>
            <w:tcW w:w="6192" w:type="dxa"/>
            <w:vAlign w:val="center"/>
          </w:tcPr>
          <w:p w14:paraId="7F5A8565" w14:textId="77777777" w:rsidR="005F4712" w:rsidRDefault="00000000">
            <w:pPr>
              <w:spacing w:after="0"/>
            </w:pPr>
            <w:r>
              <w:rPr>
                <w:sz w:val="18"/>
              </w:rPr>
              <w:t>900 MHz, 3.5 GHz and 28 GHz at d = 100 m</w:t>
            </w:r>
          </w:p>
        </w:tc>
      </w:tr>
      <w:tr w:rsidR="005F4712" w14:paraId="39499D52" w14:textId="77777777">
        <w:trPr>
          <w:cantSplit/>
          <w:jc w:val="center"/>
        </w:trPr>
        <w:tc>
          <w:tcPr>
            <w:tcW w:w="2880" w:type="dxa"/>
            <w:shd w:val="clear" w:color="auto" w:fill="F2F6FA"/>
            <w:vAlign w:val="center"/>
          </w:tcPr>
          <w:p w14:paraId="2D49DA4A" w14:textId="77777777" w:rsidR="005F4712" w:rsidRDefault="00000000">
            <w:pPr>
              <w:spacing w:after="0"/>
            </w:pPr>
            <w:r>
              <w:rPr>
                <w:sz w:val="18"/>
              </w:rPr>
              <w:t>Physical constant</w:t>
            </w:r>
          </w:p>
        </w:tc>
        <w:tc>
          <w:tcPr>
            <w:tcW w:w="6192" w:type="dxa"/>
            <w:shd w:val="clear" w:color="auto" w:fill="F2F6FA"/>
            <w:vAlign w:val="center"/>
          </w:tcPr>
          <w:p w14:paraId="05481490" w14:textId="77777777" w:rsidR="005F4712" w:rsidRDefault="00000000">
            <w:pPr>
              <w:spacing w:after="0"/>
            </w:pPr>
            <w:r>
              <w:rPr>
                <w:sz w:val="18"/>
              </w:rPr>
              <w:t>c = 3 × 10⁸ m/s</w:t>
            </w:r>
          </w:p>
        </w:tc>
      </w:tr>
    </w:tbl>
    <w:p w14:paraId="582537CB" w14:textId="77777777" w:rsidR="005F4712" w:rsidRDefault="005F4712"/>
    <w:p w14:paraId="26DA3AE4" w14:textId="77777777" w:rsidR="005F4712" w:rsidRDefault="00000000">
      <w:pPr>
        <w:pStyle w:val="Heading2"/>
      </w:pPr>
      <w:r>
        <w:t>1.1 Method</w:t>
      </w:r>
    </w:p>
    <w:p w14:paraId="1D1215FF" w14:textId="77777777" w:rsidR="005F4712" w:rsidRDefault="00000000">
      <w:r>
        <w:t>The report uses the equations specified or implied by the assignment. Arithmetic is shown explicitly. Erlang B is evaluated numerically using its stable recurrence. For the SINR calculation, the assignment does not supply receiver noise power; therefore the main result treats the two listed interference sources as the total impairment and neglects noise, making the result an interference-limited upper bound on SINR. Where the supplied information cannot support an exact prediction, the report states a simplifying assumption and explains the limitation.</w:t>
      </w:r>
    </w:p>
    <w:p w14:paraId="59E290F5" w14:textId="77777777" w:rsidR="005F4712" w:rsidRDefault="00000000">
      <w:pPr>
        <w:pStyle w:val="Heading1"/>
      </w:pPr>
      <w:r>
        <w:t>2. Stage 1 – Evolution of Mobile Systems</w:t>
      </w:r>
    </w:p>
    <w:tbl>
      <w:tblPr>
        <w:tblStyle w:val="TableGrid"/>
        <w:tblW w:w="0" w:type="auto"/>
        <w:jc w:val="center"/>
        <w:tblLook w:val="04A0" w:firstRow="1" w:lastRow="0" w:firstColumn="1" w:lastColumn="0" w:noHBand="0" w:noVBand="1"/>
      </w:tblPr>
      <w:tblGrid>
        <w:gridCol w:w="1167"/>
        <w:gridCol w:w="2448"/>
        <w:gridCol w:w="2592"/>
        <w:gridCol w:w="3024"/>
      </w:tblGrid>
      <w:tr w:rsidR="005F4712" w14:paraId="6C1E6D8D" w14:textId="77777777">
        <w:trPr>
          <w:cantSplit/>
          <w:jc w:val="center"/>
        </w:trPr>
        <w:tc>
          <w:tcPr>
            <w:tcW w:w="1008" w:type="dxa"/>
            <w:shd w:val="clear" w:color="auto" w:fill="17365D"/>
            <w:vAlign w:val="center"/>
          </w:tcPr>
          <w:p w14:paraId="63DFDF1E" w14:textId="77777777" w:rsidR="005F4712" w:rsidRDefault="00000000">
            <w:pPr>
              <w:spacing w:after="0"/>
            </w:pPr>
            <w:r>
              <w:rPr>
                <w:b/>
                <w:color w:val="FFFFFF"/>
                <w:sz w:val="18"/>
              </w:rPr>
              <w:t>Generation</w:t>
            </w:r>
          </w:p>
        </w:tc>
        <w:tc>
          <w:tcPr>
            <w:tcW w:w="2448" w:type="dxa"/>
            <w:shd w:val="clear" w:color="auto" w:fill="17365D"/>
            <w:vAlign w:val="center"/>
          </w:tcPr>
          <w:p w14:paraId="1E7F731E" w14:textId="77777777" w:rsidR="005F4712" w:rsidRDefault="00000000">
            <w:pPr>
              <w:spacing w:after="0"/>
            </w:pPr>
            <w:r>
              <w:rPr>
                <w:b/>
                <w:color w:val="FFFFFF"/>
                <w:sz w:val="18"/>
              </w:rPr>
              <w:t>Example / access technology</w:t>
            </w:r>
          </w:p>
        </w:tc>
        <w:tc>
          <w:tcPr>
            <w:tcW w:w="2592" w:type="dxa"/>
            <w:shd w:val="clear" w:color="auto" w:fill="17365D"/>
            <w:vAlign w:val="center"/>
          </w:tcPr>
          <w:p w14:paraId="1A700AFC" w14:textId="77777777" w:rsidR="005F4712" w:rsidRDefault="00000000">
            <w:pPr>
              <w:spacing w:after="0"/>
            </w:pPr>
            <w:r>
              <w:rPr>
                <w:b/>
                <w:color w:val="FFFFFF"/>
                <w:sz w:val="18"/>
              </w:rPr>
              <w:t>Service capability</w:t>
            </w:r>
          </w:p>
        </w:tc>
        <w:tc>
          <w:tcPr>
            <w:tcW w:w="3024" w:type="dxa"/>
            <w:shd w:val="clear" w:color="auto" w:fill="17365D"/>
            <w:vAlign w:val="center"/>
          </w:tcPr>
          <w:p w14:paraId="57622B27" w14:textId="77777777" w:rsidR="005F4712" w:rsidRDefault="00000000">
            <w:pPr>
              <w:spacing w:after="0"/>
            </w:pPr>
            <w:r>
              <w:rPr>
                <w:b/>
                <w:color w:val="FFFFFF"/>
                <w:sz w:val="18"/>
              </w:rPr>
              <w:t>Limitation or engineering change</w:t>
            </w:r>
          </w:p>
        </w:tc>
      </w:tr>
      <w:tr w:rsidR="005F4712" w14:paraId="0DC44F6B" w14:textId="77777777">
        <w:trPr>
          <w:cantSplit/>
          <w:jc w:val="center"/>
        </w:trPr>
        <w:tc>
          <w:tcPr>
            <w:tcW w:w="1008" w:type="dxa"/>
            <w:shd w:val="clear" w:color="auto" w:fill="F2F6FA"/>
            <w:vAlign w:val="center"/>
          </w:tcPr>
          <w:p w14:paraId="665DBA20" w14:textId="77777777" w:rsidR="005F4712" w:rsidRDefault="00000000">
            <w:pPr>
              <w:spacing w:after="0"/>
            </w:pPr>
            <w:r>
              <w:rPr>
                <w:sz w:val="18"/>
              </w:rPr>
              <w:t>1G</w:t>
            </w:r>
          </w:p>
        </w:tc>
        <w:tc>
          <w:tcPr>
            <w:tcW w:w="2448" w:type="dxa"/>
            <w:shd w:val="clear" w:color="auto" w:fill="F2F6FA"/>
            <w:vAlign w:val="center"/>
          </w:tcPr>
          <w:p w14:paraId="34BA39DD" w14:textId="77777777" w:rsidR="005F4712" w:rsidRDefault="00000000">
            <w:pPr>
              <w:spacing w:after="0"/>
            </w:pPr>
            <w:r>
              <w:rPr>
                <w:sz w:val="18"/>
              </w:rPr>
              <w:t>AMPS; 800 MHz; analog FDMA</w:t>
            </w:r>
          </w:p>
        </w:tc>
        <w:tc>
          <w:tcPr>
            <w:tcW w:w="2592" w:type="dxa"/>
            <w:shd w:val="clear" w:color="auto" w:fill="F2F6FA"/>
            <w:vAlign w:val="center"/>
          </w:tcPr>
          <w:p w14:paraId="674A9DC3" w14:textId="77777777" w:rsidR="005F4712" w:rsidRDefault="00000000">
            <w:pPr>
              <w:spacing w:after="0"/>
            </w:pPr>
            <w:r>
              <w:rPr>
                <w:sz w:val="18"/>
              </w:rPr>
              <w:t>Primarily analog mobile voice</w:t>
            </w:r>
          </w:p>
        </w:tc>
        <w:tc>
          <w:tcPr>
            <w:tcW w:w="3024" w:type="dxa"/>
            <w:shd w:val="clear" w:color="auto" w:fill="F2F6FA"/>
            <w:vAlign w:val="center"/>
          </w:tcPr>
          <w:p w14:paraId="349330CF" w14:textId="77777777" w:rsidR="005F4712" w:rsidRDefault="00000000">
            <w:pPr>
              <w:spacing w:after="0"/>
            </w:pPr>
            <w:r>
              <w:rPr>
                <w:sz w:val="18"/>
              </w:rPr>
              <w:t>Analog service and limited spectrum efficiency encouraged migration to digital systems.</w:t>
            </w:r>
          </w:p>
        </w:tc>
      </w:tr>
      <w:tr w:rsidR="005F4712" w14:paraId="72EFC7CB" w14:textId="77777777">
        <w:trPr>
          <w:cantSplit/>
          <w:jc w:val="center"/>
        </w:trPr>
        <w:tc>
          <w:tcPr>
            <w:tcW w:w="1008" w:type="dxa"/>
            <w:vAlign w:val="center"/>
          </w:tcPr>
          <w:p w14:paraId="3F2763A9" w14:textId="77777777" w:rsidR="005F4712" w:rsidRDefault="00000000">
            <w:pPr>
              <w:spacing w:after="0"/>
            </w:pPr>
            <w:r>
              <w:rPr>
                <w:sz w:val="18"/>
              </w:rPr>
              <w:t>2G</w:t>
            </w:r>
          </w:p>
        </w:tc>
        <w:tc>
          <w:tcPr>
            <w:tcW w:w="2448" w:type="dxa"/>
            <w:vAlign w:val="center"/>
          </w:tcPr>
          <w:p w14:paraId="65270F2D" w14:textId="77777777" w:rsidR="005F4712" w:rsidRDefault="00000000">
            <w:pPr>
              <w:spacing w:after="0"/>
            </w:pPr>
            <w:r>
              <w:rPr>
                <w:sz w:val="18"/>
              </w:rPr>
              <w:t>GSM; 900 MHz carrier; 200 kHz carrier bandwidth; 8 TDMA slots</w:t>
            </w:r>
          </w:p>
        </w:tc>
        <w:tc>
          <w:tcPr>
            <w:tcW w:w="2592" w:type="dxa"/>
            <w:vAlign w:val="center"/>
          </w:tcPr>
          <w:p w14:paraId="267E27D0" w14:textId="77777777" w:rsidR="005F4712" w:rsidRDefault="00000000">
            <w:pPr>
              <w:spacing w:after="0"/>
            </w:pPr>
            <w:r>
              <w:rPr>
                <w:sz w:val="18"/>
              </w:rPr>
              <w:t>Digital voice and improved service efficiency</w:t>
            </w:r>
          </w:p>
        </w:tc>
        <w:tc>
          <w:tcPr>
            <w:tcW w:w="3024" w:type="dxa"/>
            <w:vAlign w:val="center"/>
          </w:tcPr>
          <w:p w14:paraId="50CA10B5" w14:textId="77777777" w:rsidR="005F4712" w:rsidRDefault="00000000">
            <w:pPr>
              <w:spacing w:after="0"/>
            </w:pPr>
            <w:r>
              <w:rPr>
                <w:sz w:val="18"/>
              </w:rPr>
              <w:t>Digital transmission and time-slot sharing improved capacity and supported additional services.</w:t>
            </w:r>
          </w:p>
        </w:tc>
      </w:tr>
      <w:tr w:rsidR="005F4712" w14:paraId="25FDFB44" w14:textId="77777777">
        <w:trPr>
          <w:cantSplit/>
          <w:jc w:val="center"/>
        </w:trPr>
        <w:tc>
          <w:tcPr>
            <w:tcW w:w="1008" w:type="dxa"/>
            <w:shd w:val="clear" w:color="auto" w:fill="F2F6FA"/>
            <w:vAlign w:val="center"/>
          </w:tcPr>
          <w:p w14:paraId="73D0A0FE" w14:textId="77777777" w:rsidR="005F4712" w:rsidRDefault="00000000">
            <w:pPr>
              <w:spacing w:after="0"/>
            </w:pPr>
            <w:r>
              <w:rPr>
                <w:sz w:val="18"/>
              </w:rPr>
              <w:t>3G</w:t>
            </w:r>
          </w:p>
        </w:tc>
        <w:tc>
          <w:tcPr>
            <w:tcW w:w="2448" w:type="dxa"/>
            <w:shd w:val="clear" w:color="auto" w:fill="F2F6FA"/>
            <w:vAlign w:val="center"/>
          </w:tcPr>
          <w:p w14:paraId="25BD1FFE" w14:textId="77777777" w:rsidR="005F4712" w:rsidRDefault="00000000">
            <w:pPr>
              <w:spacing w:after="0"/>
            </w:pPr>
            <w:r>
              <w:rPr>
                <w:sz w:val="18"/>
              </w:rPr>
              <w:t>UMTS; 5 MHz carrier</w:t>
            </w:r>
          </w:p>
        </w:tc>
        <w:tc>
          <w:tcPr>
            <w:tcW w:w="2592" w:type="dxa"/>
            <w:shd w:val="clear" w:color="auto" w:fill="F2F6FA"/>
            <w:vAlign w:val="center"/>
          </w:tcPr>
          <w:p w14:paraId="63812684" w14:textId="77777777" w:rsidR="005F4712" w:rsidRDefault="00000000">
            <w:pPr>
              <w:spacing w:after="0"/>
            </w:pPr>
            <w:r>
              <w:rPr>
                <w:sz w:val="18"/>
              </w:rPr>
              <w:t>Mobile data and multimedia services</w:t>
            </w:r>
          </w:p>
        </w:tc>
        <w:tc>
          <w:tcPr>
            <w:tcW w:w="3024" w:type="dxa"/>
            <w:shd w:val="clear" w:color="auto" w:fill="F2F6FA"/>
            <w:vAlign w:val="center"/>
          </w:tcPr>
          <w:p w14:paraId="6CAF8E96" w14:textId="77777777" w:rsidR="005F4712" w:rsidRDefault="00000000">
            <w:pPr>
              <w:spacing w:after="0"/>
            </w:pPr>
            <w:r>
              <w:rPr>
                <w:sz w:val="18"/>
              </w:rPr>
              <w:t>Greater data demand required higher data rates and more efficient radio interfaces.</w:t>
            </w:r>
          </w:p>
        </w:tc>
      </w:tr>
      <w:tr w:rsidR="005F4712" w14:paraId="4D3519DE" w14:textId="77777777">
        <w:trPr>
          <w:cantSplit/>
          <w:jc w:val="center"/>
        </w:trPr>
        <w:tc>
          <w:tcPr>
            <w:tcW w:w="1008" w:type="dxa"/>
            <w:vAlign w:val="center"/>
          </w:tcPr>
          <w:p w14:paraId="1B9D3367" w14:textId="77777777" w:rsidR="005F4712" w:rsidRDefault="00000000">
            <w:pPr>
              <w:spacing w:after="0"/>
            </w:pPr>
            <w:r>
              <w:rPr>
                <w:sz w:val="18"/>
              </w:rPr>
              <w:t>4G</w:t>
            </w:r>
          </w:p>
        </w:tc>
        <w:tc>
          <w:tcPr>
            <w:tcW w:w="2448" w:type="dxa"/>
            <w:vAlign w:val="center"/>
          </w:tcPr>
          <w:p w14:paraId="78C9A5C5" w14:textId="77777777" w:rsidR="005F4712" w:rsidRDefault="00000000">
            <w:pPr>
              <w:spacing w:after="0"/>
            </w:pPr>
            <w:r>
              <w:rPr>
                <w:sz w:val="18"/>
              </w:rPr>
              <w:t>LTE; OFDMA and MIMO</w:t>
            </w:r>
          </w:p>
        </w:tc>
        <w:tc>
          <w:tcPr>
            <w:tcW w:w="2592" w:type="dxa"/>
            <w:vAlign w:val="center"/>
          </w:tcPr>
          <w:p w14:paraId="6AE96EF9" w14:textId="77777777" w:rsidR="005F4712" w:rsidRDefault="00000000">
            <w:pPr>
              <w:spacing w:after="0"/>
            </w:pPr>
            <w:r>
              <w:rPr>
                <w:sz w:val="18"/>
              </w:rPr>
              <w:t>Broadband mobile data and higher spectral efficiency</w:t>
            </w:r>
          </w:p>
        </w:tc>
        <w:tc>
          <w:tcPr>
            <w:tcW w:w="3024" w:type="dxa"/>
            <w:vAlign w:val="center"/>
          </w:tcPr>
          <w:p w14:paraId="185342C4" w14:textId="77777777" w:rsidR="005F4712" w:rsidRDefault="00000000">
            <w:pPr>
              <w:spacing w:after="0"/>
            </w:pPr>
            <w:r>
              <w:rPr>
                <w:sz w:val="18"/>
              </w:rPr>
              <w:t>Capacity and data-rate demands led to wider-band, multi-antenna systems.</w:t>
            </w:r>
          </w:p>
        </w:tc>
      </w:tr>
      <w:tr w:rsidR="005F4712" w14:paraId="5F5A799F" w14:textId="77777777">
        <w:trPr>
          <w:cantSplit/>
          <w:jc w:val="center"/>
        </w:trPr>
        <w:tc>
          <w:tcPr>
            <w:tcW w:w="1008" w:type="dxa"/>
            <w:shd w:val="clear" w:color="auto" w:fill="F2F6FA"/>
            <w:vAlign w:val="center"/>
          </w:tcPr>
          <w:p w14:paraId="092E2A20" w14:textId="77777777" w:rsidR="005F4712" w:rsidRDefault="00000000">
            <w:pPr>
              <w:spacing w:after="0"/>
            </w:pPr>
            <w:r>
              <w:rPr>
                <w:sz w:val="18"/>
              </w:rPr>
              <w:t>5G</w:t>
            </w:r>
          </w:p>
        </w:tc>
        <w:tc>
          <w:tcPr>
            <w:tcW w:w="2448" w:type="dxa"/>
            <w:shd w:val="clear" w:color="auto" w:fill="F2F6FA"/>
            <w:vAlign w:val="center"/>
          </w:tcPr>
          <w:p w14:paraId="4B12C43F" w14:textId="77777777" w:rsidR="005F4712" w:rsidRDefault="00000000">
            <w:pPr>
              <w:spacing w:after="0"/>
            </w:pPr>
            <w:r>
              <w:rPr>
                <w:sz w:val="18"/>
              </w:rPr>
              <w:t>NR; eMBB, URLLC, massive IoT; mid-band and mmWave; beamforming</w:t>
            </w:r>
          </w:p>
        </w:tc>
        <w:tc>
          <w:tcPr>
            <w:tcW w:w="2592" w:type="dxa"/>
            <w:shd w:val="clear" w:color="auto" w:fill="F2F6FA"/>
            <w:vAlign w:val="center"/>
          </w:tcPr>
          <w:p w14:paraId="29FF8EB0" w14:textId="77777777" w:rsidR="005F4712" w:rsidRDefault="00000000">
            <w:pPr>
              <w:spacing w:after="0"/>
            </w:pPr>
            <w:r>
              <w:rPr>
                <w:sz w:val="18"/>
              </w:rPr>
              <w:t>Enhanced broadband, low-latency use cases and large device populations</w:t>
            </w:r>
          </w:p>
        </w:tc>
        <w:tc>
          <w:tcPr>
            <w:tcW w:w="3024" w:type="dxa"/>
            <w:shd w:val="clear" w:color="auto" w:fill="F2F6FA"/>
            <w:vAlign w:val="center"/>
          </w:tcPr>
          <w:p w14:paraId="4C11BBB2" w14:textId="77777777" w:rsidR="005F4712" w:rsidRDefault="00000000">
            <w:pPr>
              <w:spacing w:after="0"/>
            </w:pPr>
            <w:r>
              <w:rPr>
                <w:sz w:val="18"/>
              </w:rPr>
              <w:t>Diverse service requirements motivate flexible spectrum use, beam management and dense deployments where needed.</w:t>
            </w:r>
          </w:p>
        </w:tc>
      </w:tr>
      <w:tr w:rsidR="005F4712" w14:paraId="3F0BD96F" w14:textId="77777777">
        <w:trPr>
          <w:cantSplit/>
          <w:jc w:val="center"/>
        </w:trPr>
        <w:tc>
          <w:tcPr>
            <w:tcW w:w="1008" w:type="dxa"/>
            <w:vAlign w:val="center"/>
          </w:tcPr>
          <w:p w14:paraId="2CF8C06C" w14:textId="77777777" w:rsidR="005F4712" w:rsidRDefault="00000000">
            <w:pPr>
              <w:spacing w:after="0"/>
            </w:pPr>
            <w:r>
              <w:rPr>
                <w:sz w:val="18"/>
              </w:rPr>
              <w:t>6G vision</w:t>
            </w:r>
          </w:p>
        </w:tc>
        <w:tc>
          <w:tcPr>
            <w:tcW w:w="2448" w:type="dxa"/>
            <w:vAlign w:val="center"/>
          </w:tcPr>
          <w:p w14:paraId="5DFACC25" w14:textId="77777777" w:rsidR="005F4712" w:rsidRDefault="00000000">
            <w:pPr>
              <w:spacing w:after="0"/>
            </w:pPr>
            <w:r>
              <w:rPr>
                <w:sz w:val="18"/>
              </w:rPr>
              <w:t>THz; AI-native networking; holographic communication; tactile internet; ISAC</w:t>
            </w:r>
          </w:p>
        </w:tc>
        <w:tc>
          <w:tcPr>
            <w:tcW w:w="2592" w:type="dxa"/>
            <w:vAlign w:val="center"/>
          </w:tcPr>
          <w:p w14:paraId="79768A45" w14:textId="77777777" w:rsidR="005F4712" w:rsidRDefault="00000000">
            <w:pPr>
              <w:spacing w:after="0"/>
            </w:pPr>
            <w:r>
              <w:rPr>
                <w:sz w:val="18"/>
              </w:rPr>
              <w:t>Future vision for advanced sensing and communication experiences</w:t>
            </w:r>
          </w:p>
        </w:tc>
        <w:tc>
          <w:tcPr>
            <w:tcW w:w="3024" w:type="dxa"/>
            <w:vAlign w:val="center"/>
          </w:tcPr>
          <w:p w14:paraId="53A3694F" w14:textId="77777777" w:rsidR="005F4712" w:rsidRDefault="00000000">
            <w:pPr>
              <w:spacing w:after="0"/>
            </w:pPr>
            <w:r>
              <w:rPr>
                <w:sz w:val="18"/>
              </w:rPr>
              <w:t>These capabilities remain a vision; feasibility, spectrum, energy use, coverage and cost require further research.</w:t>
            </w:r>
          </w:p>
        </w:tc>
      </w:tr>
    </w:tbl>
    <w:p w14:paraId="44A15A14" w14:textId="77777777" w:rsidR="005F4712" w:rsidRDefault="005F4712"/>
    <w:p w14:paraId="7D099A89" w14:textId="77777777" w:rsidR="005F4712" w:rsidRDefault="00000000">
      <w:pPr>
        <w:pStyle w:val="Heading2"/>
      </w:pPr>
      <w:r>
        <w:lastRenderedPageBreak/>
        <w:t>2.1 Wavelength at 800 MHz</w:t>
      </w:r>
    </w:p>
    <w:p w14:paraId="747A81D6" w14:textId="77777777" w:rsidR="005F4712" w:rsidRDefault="00000000">
      <w:r>
        <w:t>Wavelength is calculated from the speed of light divided by frequency.</w:t>
      </w:r>
    </w:p>
    <w:p w14:paraId="1AD3E98D" w14:textId="77777777" w:rsidR="005F4712" w:rsidRDefault="00000000">
      <w:pPr>
        <w:spacing w:before="40" w:after="140"/>
        <w:jc w:val="center"/>
      </w:pPr>
      <w:r>
        <w:rPr>
          <w:rFonts w:ascii="Cambria Math" w:hAnsi="Cambria Math"/>
          <w:b/>
          <w:color w:val="1F4E79"/>
          <w:sz w:val="22"/>
        </w:rPr>
        <w:t>λ = c / f</w:t>
      </w:r>
    </w:p>
    <w:p w14:paraId="4EB394F9" w14:textId="77777777" w:rsidR="005F4712" w:rsidRDefault="00000000">
      <w:pPr>
        <w:spacing w:before="40" w:after="140"/>
        <w:jc w:val="center"/>
      </w:pPr>
      <w:r>
        <w:rPr>
          <w:rFonts w:ascii="Cambria Math" w:hAnsi="Cambria Math"/>
          <w:b/>
          <w:color w:val="1F4E79"/>
          <w:sz w:val="22"/>
        </w:rPr>
        <w:t>λ = (3 × 10⁸ m/s) / (800 × 10⁶ Hz) = 0.375 m</w:t>
      </w:r>
    </w:p>
    <w:p w14:paraId="5A66EAA0" w14:textId="77777777" w:rsidR="005F4712" w:rsidRDefault="00000000">
      <w:r>
        <w:t>Therefore, the wavelength at 800 MHz is 0.375 m, or 37.5 cm.</w:t>
      </w:r>
    </w:p>
    <w:p w14:paraId="3943D19E" w14:textId="77777777" w:rsidR="005F4712" w:rsidRDefault="00000000">
      <w:pPr>
        <w:pStyle w:val="Heading2"/>
      </w:pPr>
      <w:r>
        <w:t>2.2 Idealized number of 30 kHz channels in 10 MHz</w:t>
      </w:r>
    </w:p>
    <w:p w14:paraId="79CD7DE6" w14:textId="77777777" w:rsidR="005F4712" w:rsidRDefault="00000000">
      <w:pPr>
        <w:spacing w:before="40" w:after="140"/>
        <w:jc w:val="center"/>
      </w:pPr>
      <w:r>
        <w:rPr>
          <w:rFonts w:ascii="Cambria Math" w:hAnsi="Cambria Math"/>
          <w:b/>
          <w:color w:val="1F4E79"/>
          <w:sz w:val="22"/>
        </w:rPr>
        <w:t>Nchannels = Total bandwidth / Bandwidth per channel</w:t>
      </w:r>
    </w:p>
    <w:p w14:paraId="5B63E926" w14:textId="77777777" w:rsidR="005F4712" w:rsidRDefault="00000000">
      <w:pPr>
        <w:spacing w:before="40" w:after="140"/>
        <w:jc w:val="center"/>
      </w:pPr>
      <w:r>
        <w:rPr>
          <w:rFonts w:ascii="Cambria Math" w:hAnsi="Cambria Math"/>
          <w:b/>
          <w:color w:val="1F4E79"/>
          <w:sz w:val="22"/>
        </w:rPr>
        <w:t>Nchannels = (10 × 10⁶ Hz) / (30 × 10³ Hz) = 333.33</w:t>
      </w:r>
    </w:p>
    <w:p w14:paraId="22F435BE" w14:textId="77777777" w:rsidR="005F4712" w:rsidRDefault="00000000">
      <w:r>
        <w:t>The idealized count is 333 complete 30 kHz channels. This calculation assumes that the full 10 MHz allocation can be divided into 30 kHz units. It ignores guard bands and duplexing constraints as an idealized arithmetic estimate; a practical AMPS channel plan must account for the actual allocation structure, paired uplink/downlink spectrum and other channel-planning rules. Consequently, 333 is not a guaranteed deployable traffic-channel count.</w:t>
      </w:r>
    </w:p>
    <w:p w14:paraId="0DBE72D3" w14:textId="77777777" w:rsidR="005F4712" w:rsidRDefault="00000000">
      <w:pPr>
        <w:pStyle w:val="Heading2"/>
      </w:pPr>
      <w:r>
        <w:t>2.3 Why digital 2G improved on analog 1G</w:t>
      </w:r>
    </w:p>
    <w:p w14:paraId="5E47AFFD" w14:textId="77777777" w:rsidR="005F4712" w:rsidRDefault="00000000">
      <w:r>
        <w:t>GSM’s digital transmission and TDMA structure allow multiple users to share a carrier in distinct time slots. Compared with analog 1G voice, digital systems can provide improved capacity and more consistent service features, as well as support for data and network services. The broader generational trend is from basic analog voice toward efficient broadband, differentiated quality-of-service requirements, massive device connectivity and future integrated communication-and-sensing concepts.</w:t>
      </w:r>
    </w:p>
    <w:p w14:paraId="7F37649B" w14:textId="77777777" w:rsidR="005F4712" w:rsidRDefault="00000000">
      <w:r>
        <w:t>Synthesis: Spectrum management evolved from allocating analog voice channels toward coordinating time, frequency, spatial streams and directional beams. As capacity and data rates increased, interference management became increasingly dependent on frequency reuse, power control, antenna design, MIMO/beamforming and careful deployment density.</w:t>
      </w:r>
    </w:p>
    <w:p w14:paraId="0B1B9D80" w14:textId="77777777" w:rsidR="005F4712" w:rsidRDefault="00000000">
      <w:pPr>
        <w:pStyle w:val="Heading1"/>
      </w:pPr>
      <w:r>
        <w:t>3. Stage 2 – Cell Coverage and Frequency Reuse</w:t>
      </w:r>
    </w:p>
    <w:p w14:paraId="3D75EF79" w14:textId="77777777" w:rsidR="005F4712" w:rsidRDefault="00000000">
      <w:pPr>
        <w:pStyle w:val="Heading2"/>
      </w:pPr>
      <w:r>
        <w:t>3.1 Area of one hexagonal cell</w:t>
      </w:r>
    </w:p>
    <w:p w14:paraId="7070C2BB" w14:textId="77777777" w:rsidR="005F4712" w:rsidRDefault="00000000">
      <w:r>
        <w:t>For a regular hexagon whose radius r is the centre-to-vertex distance, the ideal cell area is:</w:t>
      </w:r>
    </w:p>
    <w:p w14:paraId="30EB6E9B" w14:textId="77777777" w:rsidR="005F4712" w:rsidRDefault="00000000">
      <w:pPr>
        <w:spacing w:before="40" w:after="140"/>
        <w:jc w:val="center"/>
      </w:pPr>
      <w:r>
        <w:rPr>
          <w:rFonts w:ascii="Cambria Math" w:hAnsi="Cambria Math"/>
          <w:b/>
          <w:color w:val="1F4E79"/>
          <w:sz w:val="22"/>
        </w:rPr>
        <w:t>Acell = (3√3 / 2) r²</w:t>
      </w:r>
    </w:p>
    <w:p w14:paraId="52FEEEB9" w14:textId="77777777" w:rsidR="005F4712" w:rsidRDefault="00000000">
      <w:pPr>
        <w:spacing w:before="40" w:after="140"/>
        <w:jc w:val="center"/>
      </w:pPr>
      <w:r>
        <w:rPr>
          <w:rFonts w:ascii="Cambria Math" w:hAnsi="Cambria Math"/>
          <w:b/>
          <w:color w:val="1F4E79"/>
          <w:sz w:val="22"/>
        </w:rPr>
        <w:t>Acell = (3√3 / 2) × (2 km)² = 10.3923 km²</w:t>
      </w:r>
    </w:p>
    <w:p w14:paraId="191914D0" w14:textId="77777777" w:rsidR="005F4712" w:rsidRDefault="00000000">
      <w:r>
        <w:t>The idealized area of one cell is approximately 10.39 km².</w:t>
      </w:r>
    </w:p>
    <w:p w14:paraId="72402EB9" w14:textId="77777777" w:rsidR="005F4712" w:rsidRDefault="00000000">
      <w:pPr>
        <w:pStyle w:val="Heading2"/>
      </w:pPr>
      <w:r>
        <w:t>3.2 Area of the 19-cell planning cluster</w:t>
      </w:r>
    </w:p>
    <w:p w14:paraId="234D7422" w14:textId="77777777" w:rsidR="005F4712" w:rsidRDefault="00000000">
      <w:pPr>
        <w:spacing w:before="40" w:after="140"/>
        <w:jc w:val="center"/>
      </w:pPr>
      <w:r>
        <w:rPr>
          <w:rFonts w:ascii="Cambria Math" w:hAnsi="Cambria Math"/>
          <w:b/>
          <w:color w:val="1F4E79"/>
          <w:sz w:val="22"/>
        </w:rPr>
        <w:t>Acluster = 19 × Acell = 19 × 10.3923 = 197.454 km²</w:t>
      </w:r>
    </w:p>
    <w:p w14:paraId="6D6CF8D1" w14:textId="77777777" w:rsidR="005F4712" w:rsidRDefault="00000000">
      <w:r>
        <w:t>The 19-cell cluster therefore represents approximately 197.45 km² of idealized geometric area. This is a planning-model area, not a guarantee that radio service will be available at every point.</w:t>
      </w:r>
    </w:p>
    <w:p w14:paraId="08925A2C" w14:textId="77777777" w:rsidR="005F4712" w:rsidRDefault="00000000">
      <w:pPr>
        <w:pStyle w:val="Heading2"/>
      </w:pPr>
      <w:r>
        <w:t>3.3 Frequency reuse fraction</w:t>
      </w:r>
    </w:p>
    <w:p w14:paraId="719A015B" w14:textId="77777777" w:rsidR="005F4712" w:rsidRDefault="00000000">
      <w:pPr>
        <w:spacing w:before="40" w:after="140"/>
        <w:jc w:val="center"/>
      </w:pPr>
      <w:r>
        <w:rPr>
          <w:rFonts w:ascii="Cambria Math" w:hAnsi="Cambria Math"/>
          <w:b/>
          <w:color w:val="1F4E79"/>
          <w:sz w:val="22"/>
        </w:rPr>
        <w:t>Reuse fraction = 1 / N = 1 / 7 = 0.142857 ≈ 14.29%</w:t>
      </w:r>
    </w:p>
    <w:p w14:paraId="3C32E2D1" w14:textId="77777777" w:rsidR="005F4712" w:rsidRDefault="00000000">
      <w:r>
        <w:t>In the idealized cluster model, a given frequency set is assigned to one of every seven cells in a reuse pattern. The fraction describes reuse planning; it does not mean that only 14.29% of the total spectrum is used across the whole network.</w:t>
      </w:r>
    </w:p>
    <w:p w14:paraId="07342EFE" w14:textId="77777777" w:rsidR="005F4712" w:rsidRDefault="00000000">
      <w:pPr>
        <w:pStyle w:val="Heading2"/>
      </w:pPr>
      <w:r>
        <w:lastRenderedPageBreak/>
        <w:t>3.4 Co-channel reuse distance</w:t>
      </w:r>
    </w:p>
    <w:p w14:paraId="77FB6930" w14:textId="77777777" w:rsidR="005F4712" w:rsidRDefault="00000000">
      <w:pPr>
        <w:spacing w:before="40" w:after="140"/>
        <w:jc w:val="center"/>
      </w:pPr>
      <w:r>
        <w:rPr>
          <w:rFonts w:ascii="Cambria Math" w:hAnsi="Cambria Math"/>
          <w:b/>
          <w:color w:val="1F4E79"/>
          <w:sz w:val="22"/>
        </w:rPr>
        <w:t>D = r√(3N)</w:t>
      </w:r>
    </w:p>
    <w:p w14:paraId="02FF4902" w14:textId="77777777" w:rsidR="005F4712" w:rsidRDefault="00000000">
      <w:pPr>
        <w:spacing w:before="40" w:after="140"/>
        <w:jc w:val="center"/>
      </w:pPr>
      <w:r>
        <w:rPr>
          <w:rFonts w:ascii="Cambria Math" w:hAnsi="Cambria Math"/>
          <w:b/>
          <w:color w:val="1F4E79"/>
          <w:sz w:val="22"/>
        </w:rPr>
        <w:t>D = 2 km × √(3 × 7) = 2√21 km ≈ 9.165 km</w:t>
      </w:r>
    </w:p>
    <w:p w14:paraId="16A07ADD" w14:textId="77777777" w:rsidR="005F4712" w:rsidRDefault="00000000">
      <w:r>
        <w:t>The nominal reuse distance is approximately 9.17 km. The formula assumes regular hexagonal cells, a conventional co-channel reuse pattern and ideal geometry.</w:t>
      </w:r>
    </w:p>
    <w:p w14:paraId="25963F6A" w14:textId="77777777" w:rsidR="005F4712" w:rsidRDefault="00000000">
      <w:pPr>
        <w:pStyle w:val="Heading2"/>
      </w:pPr>
      <w:r>
        <w:t>3.5 Assumptions and geometric versus radio coverage</w:t>
      </w:r>
    </w:p>
    <w:p w14:paraId="100B88CC" w14:textId="77777777" w:rsidR="005F4712" w:rsidRDefault="00000000">
      <w:pPr>
        <w:pStyle w:val="ListBullet"/>
      </w:pPr>
      <w:r>
        <w:t>The hexagonal model tessellates a plane without gaps or overlaps and treats cells as equal in size.</w:t>
      </w:r>
    </w:p>
    <w:p w14:paraId="258BB1EF" w14:textId="77777777" w:rsidR="005F4712" w:rsidRDefault="00000000">
      <w:pPr>
        <w:pStyle w:val="ListBullet"/>
      </w:pPr>
      <w:r>
        <w:t>The model assumes a representative radius and idealized cell boundaries; real propagation is not hexagonal.</w:t>
      </w:r>
    </w:p>
    <w:p w14:paraId="7B35DDA9" w14:textId="77777777" w:rsidR="005F4712" w:rsidRDefault="00000000">
      <w:pPr>
        <w:pStyle w:val="ListBullet"/>
      </w:pPr>
      <w:r>
        <w:t>Terrain, buildings, foliage, antenna height, antenna orientation, transmit power, receiver sensitivity, shadowing and fading can create coverage holes or extend signals beyond the nominal boundary.</w:t>
      </w:r>
    </w:p>
    <w:p w14:paraId="5C85934E" w14:textId="77777777" w:rsidR="005F4712" w:rsidRDefault="00000000">
      <w:pPr>
        <w:pStyle w:val="ListBullet"/>
      </w:pPr>
      <w:r>
        <w:t>Geometric coverage is the area assigned to a cell in a planning diagram. Guaranteed radio coverage requires a specified service threshold and evidence from propagation modelling or field measurements.</w:t>
      </w:r>
    </w:p>
    <w:p w14:paraId="0B70FB5E" w14:textId="77777777" w:rsidR="005F4712" w:rsidRDefault="00000000">
      <w:pPr>
        <w:pStyle w:val="Heading2"/>
      </w:pPr>
      <w:r>
        <w:t>3.6 Capacity-expansion options</w:t>
      </w:r>
    </w:p>
    <w:tbl>
      <w:tblPr>
        <w:tblStyle w:val="TableGrid"/>
        <w:tblW w:w="0" w:type="auto"/>
        <w:jc w:val="center"/>
        <w:tblLook w:val="04A0" w:firstRow="1" w:lastRow="0" w:firstColumn="1" w:lastColumn="0" w:noHBand="0" w:noVBand="1"/>
      </w:tblPr>
      <w:tblGrid>
        <w:gridCol w:w="1728"/>
        <w:gridCol w:w="3456"/>
        <w:gridCol w:w="3888"/>
      </w:tblGrid>
      <w:tr w:rsidR="005F4712" w14:paraId="6224B99E" w14:textId="77777777">
        <w:trPr>
          <w:cantSplit/>
          <w:jc w:val="center"/>
        </w:trPr>
        <w:tc>
          <w:tcPr>
            <w:tcW w:w="1728" w:type="dxa"/>
            <w:shd w:val="clear" w:color="auto" w:fill="17365D"/>
            <w:vAlign w:val="center"/>
          </w:tcPr>
          <w:p w14:paraId="08680B6F" w14:textId="77777777" w:rsidR="005F4712" w:rsidRDefault="00000000">
            <w:pPr>
              <w:spacing w:after="0"/>
            </w:pPr>
            <w:r>
              <w:rPr>
                <w:b/>
                <w:color w:val="FFFFFF"/>
                <w:sz w:val="18"/>
              </w:rPr>
              <w:t>Measure</w:t>
            </w:r>
          </w:p>
        </w:tc>
        <w:tc>
          <w:tcPr>
            <w:tcW w:w="3456" w:type="dxa"/>
            <w:shd w:val="clear" w:color="auto" w:fill="17365D"/>
            <w:vAlign w:val="center"/>
          </w:tcPr>
          <w:p w14:paraId="1A8B6357" w14:textId="77777777" w:rsidR="005F4712" w:rsidRDefault="00000000">
            <w:pPr>
              <w:spacing w:after="0"/>
            </w:pPr>
            <w:r>
              <w:rPr>
                <w:b/>
                <w:color w:val="FFFFFF"/>
                <w:sz w:val="18"/>
              </w:rPr>
              <w:t>Potential benefit</w:t>
            </w:r>
          </w:p>
        </w:tc>
        <w:tc>
          <w:tcPr>
            <w:tcW w:w="3888" w:type="dxa"/>
            <w:shd w:val="clear" w:color="auto" w:fill="17365D"/>
            <w:vAlign w:val="center"/>
          </w:tcPr>
          <w:p w14:paraId="706EB50D" w14:textId="77777777" w:rsidR="005F4712" w:rsidRDefault="00000000">
            <w:pPr>
              <w:spacing w:after="0"/>
            </w:pPr>
            <w:r>
              <w:rPr>
                <w:b/>
                <w:color w:val="FFFFFF"/>
                <w:sz w:val="18"/>
              </w:rPr>
              <w:t>Trade-off / caution</w:t>
            </w:r>
          </w:p>
        </w:tc>
      </w:tr>
      <w:tr w:rsidR="005F4712" w14:paraId="2BDBCE6F" w14:textId="77777777">
        <w:trPr>
          <w:cantSplit/>
          <w:jc w:val="center"/>
        </w:trPr>
        <w:tc>
          <w:tcPr>
            <w:tcW w:w="1728" w:type="dxa"/>
            <w:shd w:val="clear" w:color="auto" w:fill="F2F6FA"/>
            <w:vAlign w:val="center"/>
          </w:tcPr>
          <w:p w14:paraId="35F1D304" w14:textId="77777777" w:rsidR="005F4712" w:rsidRDefault="00000000">
            <w:pPr>
              <w:spacing w:after="0"/>
            </w:pPr>
            <w:r>
              <w:rPr>
                <w:sz w:val="18"/>
              </w:rPr>
              <w:t>Cell splitting</w:t>
            </w:r>
          </w:p>
        </w:tc>
        <w:tc>
          <w:tcPr>
            <w:tcW w:w="3456" w:type="dxa"/>
            <w:shd w:val="clear" w:color="auto" w:fill="F2F6FA"/>
            <w:vAlign w:val="center"/>
          </w:tcPr>
          <w:p w14:paraId="19391A85" w14:textId="77777777" w:rsidR="005F4712" w:rsidRDefault="00000000">
            <w:pPr>
              <w:spacing w:after="0"/>
            </w:pPr>
            <w:r>
              <w:rPr>
                <w:sz w:val="18"/>
              </w:rPr>
              <w:t>Smaller cells can increase spatial reuse and capacity in high-demand locations.</w:t>
            </w:r>
          </w:p>
        </w:tc>
        <w:tc>
          <w:tcPr>
            <w:tcW w:w="3888" w:type="dxa"/>
            <w:shd w:val="clear" w:color="auto" w:fill="F2F6FA"/>
            <w:vAlign w:val="center"/>
          </w:tcPr>
          <w:p w14:paraId="3EBB2088" w14:textId="77777777" w:rsidR="005F4712" w:rsidRDefault="00000000">
            <w:pPr>
              <w:spacing w:after="0"/>
            </w:pPr>
            <w:r>
              <w:rPr>
                <w:sz w:val="18"/>
              </w:rPr>
              <w:t>More sites, backhaul and handoffs; interference planning becomes more complex.</w:t>
            </w:r>
          </w:p>
        </w:tc>
      </w:tr>
      <w:tr w:rsidR="005F4712" w14:paraId="65F8CA08" w14:textId="77777777">
        <w:trPr>
          <w:cantSplit/>
          <w:jc w:val="center"/>
        </w:trPr>
        <w:tc>
          <w:tcPr>
            <w:tcW w:w="1728" w:type="dxa"/>
            <w:vAlign w:val="center"/>
          </w:tcPr>
          <w:p w14:paraId="2A8B47AD" w14:textId="77777777" w:rsidR="005F4712" w:rsidRDefault="00000000">
            <w:pPr>
              <w:spacing w:after="0"/>
            </w:pPr>
            <w:r>
              <w:rPr>
                <w:sz w:val="18"/>
              </w:rPr>
              <w:t>Sectoring</w:t>
            </w:r>
          </w:p>
        </w:tc>
        <w:tc>
          <w:tcPr>
            <w:tcW w:w="3456" w:type="dxa"/>
            <w:vAlign w:val="center"/>
          </w:tcPr>
          <w:p w14:paraId="3C497909" w14:textId="77777777" w:rsidR="005F4712" w:rsidRDefault="00000000">
            <w:pPr>
              <w:spacing w:after="0"/>
            </w:pPr>
            <w:r>
              <w:rPr>
                <w:sz w:val="18"/>
              </w:rPr>
              <w:t>Directional antennas can reduce the number of strong interferers seen by a sector and improve spatial reuse.</w:t>
            </w:r>
          </w:p>
        </w:tc>
        <w:tc>
          <w:tcPr>
            <w:tcW w:w="3888" w:type="dxa"/>
            <w:vAlign w:val="center"/>
          </w:tcPr>
          <w:p w14:paraId="69B52928" w14:textId="77777777" w:rsidR="005F4712" w:rsidRDefault="00000000">
            <w:pPr>
              <w:spacing w:after="0"/>
            </w:pPr>
            <w:r>
              <w:rPr>
                <w:sz w:val="18"/>
              </w:rPr>
              <w:t>Requires antenna/sector planning; sector boundaries and load balance need tuning.</w:t>
            </w:r>
          </w:p>
        </w:tc>
      </w:tr>
      <w:tr w:rsidR="005F4712" w14:paraId="18264FB2" w14:textId="77777777">
        <w:trPr>
          <w:cantSplit/>
          <w:jc w:val="center"/>
        </w:trPr>
        <w:tc>
          <w:tcPr>
            <w:tcW w:w="1728" w:type="dxa"/>
            <w:shd w:val="clear" w:color="auto" w:fill="F2F6FA"/>
            <w:vAlign w:val="center"/>
          </w:tcPr>
          <w:p w14:paraId="146B8155" w14:textId="77777777" w:rsidR="005F4712" w:rsidRDefault="00000000">
            <w:pPr>
              <w:spacing w:after="0"/>
            </w:pPr>
            <w:r>
              <w:rPr>
                <w:sz w:val="18"/>
              </w:rPr>
              <w:t>Microcells</w:t>
            </w:r>
          </w:p>
        </w:tc>
        <w:tc>
          <w:tcPr>
            <w:tcW w:w="3456" w:type="dxa"/>
            <w:shd w:val="clear" w:color="auto" w:fill="F2F6FA"/>
            <w:vAlign w:val="center"/>
          </w:tcPr>
          <w:p w14:paraId="7B4D46FC" w14:textId="77777777" w:rsidR="005F4712" w:rsidRDefault="00000000">
            <w:pPr>
              <w:spacing w:after="0"/>
            </w:pPr>
            <w:r>
              <w:rPr>
                <w:sz w:val="18"/>
              </w:rPr>
              <w:t>Adds capacity in urban streets, transport corridors or local hotspots.</w:t>
            </w:r>
          </w:p>
        </w:tc>
        <w:tc>
          <w:tcPr>
            <w:tcW w:w="3888" w:type="dxa"/>
            <w:shd w:val="clear" w:color="auto" w:fill="F2F6FA"/>
            <w:vAlign w:val="center"/>
          </w:tcPr>
          <w:p w14:paraId="5EA918B9" w14:textId="77777777" w:rsidR="005F4712" w:rsidRDefault="00000000">
            <w:pPr>
              <w:spacing w:after="0"/>
            </w:pPr>
            <w:r>
              <w:rPr>
                <w:sz w:val="18"/>
              </w:rPr>
              <w:t>More frequent handoffs and site/backhaul requirements.</w:t>
            </w:r>
          </w:p>
        </w:tc>
      </w:tr>
      <w:tr w:rsidR="005F4712" w14:paraId="623D905F" w14:textId="77777777">
        <w:trPr>
          <w:cantSplit/>
          <w:jc w:val="center"/>
        </w:trPr>
        <w:tc>
          <w:tcPr>
            <w:tcW w:w="1728" w:type="dxa"/>
            <w:vAlign w:val="center"/>
          </w:tcPr>
          <w:p w14:paraId="10CC1504" w14:textId="77777777" w:rsidR="005F4712" w:rsidRDefault="00000000">
            <w:pPr>
              <w:spacing w:after="0"/>
            </w:pPr>
            <w:r>
              <w:rPr>
                <w:sz w:val="18"/>
              </w:rPr>
              <w:t>Picocells</w:t>
            </w:r>
          </w:p>
        </w:tc>
        <w:tc>
          <w:tcPr>
            <w:tcW w:w="3456" w:type="dxa"/>
            <w:vAlign w:val="center"/>
          </w:tcPr>
          <w:p w14:paraId="004EFA85" w14:textId="77777777" w:rsidR="005F4712" w:rsidRDefault="00000000">
            <w:pPr>
              <w:spacing w:after="0"/>
            </w:pPr>
            <w:r>
              <w:rPr>
                <w:sz w:val="18"/>
              </w:rPr>
              <w:t>Adds localized indoor or small-area capacity.</w:t>
            </w:r>
          </w:p>
        </w:tc>
        <w:tc>
          <w:tcPr>
            <w:tcW w:w="3888" w:type="dxa"/>
            <w:vAlign w:val="center"/>
          </w:tcPr>
          <w:p w14:paraId="70ED7F67" w14:textId="77777777" w:rsidR="005F4712" w:rsidRDefault="00000000">
            <w:pPr>
              <w:spacing w:after="0"/>
            </w:pPr>
            <w:r>
              <w:rPr>
                <w:sz w:val="18"/>
              </w:rPr>
              <w:t>Coverage is limited; coordination and interference management are required.</w:t>
            </w:r>
          </w:p>
        </w:tc>
      </w:tr>
      <w:tr w:rsidR="005F4712" w14:paraId="5BA63592" w14:textId="77777777">
        <w:trPr>
          <w:cantSplit/>
          <w:jc w:val="center"/>
        </w:trPr>
        <w:tc>
          <w:tcPr>
            <w:tcW w:w="1728" w:type="dxa"/>
            <w:shd w:val="clear" w:color="auto" w:fill="F2F6FA"/>
            <w:vAlign w:val="center"/>
          </w:tcPr>
          <w:p w14:paraId="6ED881C6" w14:textId="77777777" w:rsidR="005F4712" w:rsidRDefault="00000000">
            <w:pPr>
              <w:spacing w:after="0"/>
            </w:pPr>
            <w:r>
              <w:rPr>
                <w:sz w:val="18"/>
              </w:rPr>
              <w:t>Femtocells</w:t>
            </w:r>
          </w:p>
        </w:tc>
        <w:tc>
          <w:tcPr>
            <w:tcW w:w="3456" w:type="dxa"/>
            <w:shd w:val="clear" w:color="auto" w:fill="F2F6FA"/>
            <w:vAlign w:val="center"/>
          </w:tcPr>
          <w:p w14:paraId="02F76D0A" w14:textId="77777777" w:rsidR="005F4712" w:rsidRDefault="00000000">
            <w:pPr>
              <w:spacing w:after="0"/>
            </w:pPr>
            <w:r>
              <w:rPr>
                <w:sz w:val="18"/>
              </w:rPr>
              <w:t>Can improve indoor service in homes or small premises.</w:t>
            </w:r>
          </w:p>
        </w:tc>
        <w:tc>
          <w:tcPr>
            <w:tcW w:w="3888" w:type="dxa"/>
            <w:shd w:val="clear" w:color="auto" w:fill="F2F6FA"/>
            <w:vAlign w:val="center"/>
          </w:tcPr>
          <w:p w14:paraId="691EBF85" w14:textId="77777777" w:rsidR="005F4712" w:rsidRDefault="00000000">
            <w:pPr>
              <w:spacing w:after="0"/>
            </w:pPr>
            <w:r>
              <w:rPr>
                <w:sz w:val="18"/>
              </w:rPr>
              <w:t>Access control, backhaul quality and interference with nearby cells need consideration.</w:t>
            </w:r>
          </w:p>
        </w:tc>
      </w:tr>
    </w:tbl>
    <w:p w14:paraId="1262143C" w14:textId="77777777" w:rsidR="005F4712" w:rsidRDefault="005F4712"/>
    <w:p w14:paraId="57AEEE61" w14:textId="77777777" w:rsidR="005F4712" w:rsidRDefault="00000000">
      <w:r>
        <w:t>Recommendation: begin with targeted microcells or picocells in verified traffic hotspots, while retaining macrocell coverage. This approach expands capacity where it is needed without immediately increasing site density everywhere. The final choice should be based on measured traffic maps and interference data. Denser cells can improve capacity but generally increase handoff frequency and may increase interference if coordination is poor.</w:t>
      </w:r>
    </w:p>
    <w:p w14:paraId="6CFBDBFF" w14:textId="77777777" w:rsidR="005F4712" w:rsidRDefault="00000000">
      <w:pPr>
        <w:pStyle w:val="Heading1"/>
      </w:pPr>
      <w:r>
        <w:t>4. Stage 3 – Traffic and Channel Capacity</w:t>
      </w:r>
    </w:p>
    <w:p w14:paraId="1533C0E6" w14:textId="77777777" w:rsidR="005F4712" w:rsidRDefault="00000000">
      <w:pPr>
        <w:pStyle w:val="Heading2"/>
      </w:pPr>
      <w:r>
        <w:t>4.1 Offered busy-hour traffic</w:t>
      </w:r>
    </w:p>
    <w:p w14:paraId="7D7BE362" w14:textId="77777777" w:rsidR="005F4712" w:rsidRDefault="00000000">
      <w:pPr>
        <w:spacing w:before="40" w:after="140"/>
        <w:jc w:val="center"/>
      </w:pPr>
      <w:r>
        <w:rPr>
          <w:rFonts w:ascii="Cambria Math" w:hAnsi="Cambria Math"/>
          <w:b/>
          <w:color w:val="1F4E79"/>
          <w:sz w:val="22"/>
        </w:rPr>
        <w:t>A = Number of subscribers × Average offered traffic per subscriber</w:t>
      </w:r>
    </w:p>
    <w:p w14:paraId="14CF30C6" w14:textId="77777777" w:rsidR="005F4712" w:rsidRDefault="00000000">
      <w:pPr>
        <w:spacing w:before="40" w:after="140"/>
        <w:jc w:val="center"/>
      </w:pPr>
      <w:r>
        <w:rPr>
          <w:rFonts w:ascii="Cambria Math" w:hAnsi="Cambria Math"/>
          <w:b/>
          <w:color w:val="1F4E79"/>
          <w:sz w:val="22"/>
        </w:rPr>
        <w:t>A = 1,000 × 0.08 Erlang = 80 Erlangs</w:t>
      </w:r>
    </w:p>
    <w:p w14:paraId="6B8ECD4E" w14:textId="77777777" w:rsidR="005F4712" w:rsidRDefault="00000000">
      <w:r>
        <w:t>The planning area offers 80 Erlangs of busy-hour traffic under the supplied average-traffic assumption. An Erlang represents continuous occupancy of one channel over the measurement interval; 80 Erlangs is aggregate offered load, not a statement that exactly 80 particular subscribers are always active.</w:t>
      </w:r>
    </w:p>
    <w:p w14:paraId="60671E13" w14:textId="77777777" w:rsidR="005F4712" w:rsidRDefault="00000000">
      <w:pPr>
        <w:pStyle w:val="Heading2"/>
      </w:pPr>
      <w:r>
        <w:t>4.2 Erlang B model</w:t>
      </w:r>
    </w:p>
    <w:p w14:paraId="6EF998BD" w14:textId="77777777" w:rsidR="005F4712" w:rsidRDefault="00000000">
      <w:r>
        <w:t>For a loss system with C traffic channels and offered traffic A, the Erlang B blocking probability is:</w:t>
      </w:r>
    </w:p>
    <w:p w14:paraId="786582B1" w14:textId="77777777" w:rsidR="005F4712" w:rsidRDefault="00000000">
      <w:pPr>
        <w:spacing w:before="40" w:after="140"/>
        <w:jc w:val="center"/>
      </w:pPr>
      <w:r>
        <w:rPr>
          <w:rFonts w:ascii="Cambria Math" w:hAnsi="Cambria Math"/>
          <w:b/>
          <w:color w:val="1F4E79"/>
          <w:sz w:val="22"/>
        </w:rPr>
        <w:t>B(A,C) = (Aᶜ / C!) / Σₖ₌₀ᶜ (Aᵏ / k!)</w:t>
      </w:r>
    </w:p>
    <w:p w14:paraId="6953C034" w14:textId="77777777" w:rsidR="005F4712" w:rsidRDefault="00000000">
      <w:r>
        <w:lastRenderedPageBreak/>
        <w:t>The model assumes calls that find all channels busy are blocked and do not wait in a queue. For numerical stability, Erlang B can be evaluated by the recurrence B₀ = 1 and Bₙ = (A Bₙ₋₁)/(n + A Bₙ₋₁), for n = 1, …, C.</w:t>
      </w:r>
    </w:p>
    <w:p w14:paraId="4D016720" w14:textId="77777777" w:rsidR="005F4712" w:rsidRDefault="00000000">
      <w:pPr>
        <w:pStyle w:val="Heading2"/>
      </w:pPr>
      <w:r>
        <w:t>4.3 Blocking probability for 100 channels</w:t>
      </w:r>
    </w:p>
    <w:p w14:paraId="49DE2777" w14:textId="77777777" w:rsidR="005F4712" w:rsidRDefault="00000000">
      <w:r>
        <w:t>Using A = 80 Erlangs and C = 100 channels:</w:t>
      </w:r>
    </w:p>
    <w:p w14:paraId="6A9CEF32" w14:textId="77777777" w:rsidR="005F4712" w:rsidRDefault="00000000">
      <w:pPr>
        <w:spacing w:before="40" w:after="140"/>
        <w:jc w:val="center"/>
      </w:pPr>
      <w:r>
        <w:rPr>
          <w:rFonts w:ascii="Cambria Math" w:hAnsi="Cambria Math"/>
          <w:b/>
          <w:color w:val="1F4E79"/>
          <w:sz w:val="22"/>
        </w:rPr>
        <w:t>B(80,100) ≈ 0.003992 = 0.3992%</w:t>
      </w:r>
    </w:p>
    <w:p w14:paraId="219151BE" w14:textId="77777777" w:rsidR="005F4712" w:rsidRDefault="00000000">
      <w:r>
        <w:t>The estimated blocking probability is approximately 0.399%, which is below the target of 2%. Under the supplied traffic model, the initial 100-channel group meets the blocking requirement.</w:t>
      </w:r>
    </w:p>
    <w:p w14:paraId="5EF9B42C" w14:textId="77777777" w:rsidR="005F4712" w:rsidRDefault="00000000">
      <w:pPr>
        <w:pStyle w:val="Heading2"/>
      </w:pPr>
      <w:r>
        <w:t>4.4 Minimum number of channels for a 2% target</w:t>
      </w:r>
    </w:p>
    <w:p w14:paraId="2C81E722" w14:textId="77777777" w:rsidR="005F4712" w:rsidRDefault="00000000">
      <w:r>
        <w:t>Evaluating the Erlang B recurrence for increasing channel counts gives the following boundary values:</w:t>
      </w:r>
    </w:p>
    <w:tbl>
      <w:tblPr>
        <w:tblStyle w:val="TableGrid"/>
        <w:tblW w:w="0" w:type="auto"/>
        <w:jc w:val="center"/>
        <w:tblLook w:val="04A0" w:firstRow="1" w:lastRow="0" w:firstColumn="1" w:lastColumn="0" w:noHBand="0" w:noVBand="1"/>
      </w:tblPr>
      <w:tblGrid>
        <w:gridCol w:w="1584"/>
        <w:gridCol w:w="3600"/>
        <w:gridCol w:w="3888"/>
      </w:tblGrid>
      <w:tr w:rsidR="005F4712" w14:paraId="1A5E1B33" w14:textId="77777777">
        <w:trPr>
          <w:cantSplit/>
          <w:jc w:val="center"/>
        </w:trPr>
        <w:tc>
          <w:tcPr>
            <w:tcW w:w="1584" w:type="dxa"/>
            <w:shd w:val="clear" w:color="auto" w:fill="17365D"/>
            <w:vAlign w:val="center"/>
          </w:tcPr>
          <w:p w14:paraId="0E8CD374" w14:textId="77777777" w:rsidR="005F4712" w:rsidRDefault="00000000">
            <w:pPr>
              <w:spacing w:after="0"/>
            </w:pPr>
            <w:r>
              <w:rPr>
                <w:b/>
                <w:color w:val="FFFFFF"/>
                <w:sz w:val="18"/>
              </w:rPr>
              <w:t>Channels C</w:t>
            </w:r>
          </w:p>
        </w:tc>
        <w:tc>
          <w:tcPr>
            <w:tcW w:w="3600" w:type="dxa"/>
            <w:shd w:val="clear" w:color="auto" w:fill="17365D"/>
            <w:vAlign w:val="center"/>
          </w:tcPr>
          <w:p w14:paraId="4B98C349" w14:textId="77777777" w:rsidR="005F4712" w:rsidRDefault="00000000">
            <w:pPr>
              <w:spacing w:after="0"/>
            </w:pPr>
            <w:r>
              <w:rPr>
                <w:b/>
                <w:color w:val="FFFFFF"/>
                <w:sz w:val="18"/>
              </w:rPr>
              <w:t>Erlang B blocking probability</w:t>
            </w:r>
          </w:p>
        </w:tc>
        <w:tc>
          <w:tcPr>
            <w:tcW w:w="3888" w:type="dxa"/>
            <w:shd w:val="clear" w:color="auto" w:fill="17365D"/>
            <w:vAlign w:val="center"/>
          </w:tcPr>
          <w:p w14:paraId="3E889F90" w14:textId="77777777" w:rsidR="005F4712" w:rsidRDefault="00000000">
            <w:pPr>
              <w:spacing w:after="0"/>
            </w:pPr>
            <w:r>
              <w:rPr>
                <w:b/>
                <w:color w:val="FFFFFF"/>
                <w:sz w:val="18"/>
              </w:rPr>
              <w:t>Target status</w:t>
            </w:r>
          </w:p>
        </w:tc>
      </w:tr>
      <w:tr w:rsidR="005F4712" w14:paraId="574AA16C" w14:textId="77777777">
        <w:trPr>
          <w:cantSplit/>
          <w:jc w:val="center"/>
        </w:trPr>
        <w:tc>
          <w:tcPr>
            <w:tcW w:w="1584" w:type="dxa"/>
            <w:shd w:val="clear" w:color="auto" w:fill="F2F6FA"/>
            <w:vAlign w:val="center"/>
          </w:tcPr>
          <w:p w14:paraId="27463CBC" w14:textId="77777777" w:rsidR="005F4712" w:rsidRDefault="00000000">
            <w:pPr>
              <w:spacing w:after="0"/>
            </w:pPr>
            <w:r>
              <w:rPr>
                <w:sz w:val="18"/>
              </w:rPr>
              <w:t>91</w:t>
            </w:r>
          </w:p>
        </w:tc>
        <w:tc>
          <w:tcPr>
            <w:tcW w:w="3600" w:type="dxa"/>
            <w:shd w:val="clear" w:color="auto" w:fill="F2F6FA"/>
            <w:vAlign w:val="center"/>
          </w:tcPr>
          <w:p w14:paraId="4C94BD88" w14:textId="77777777" w:rsidR="005F4712" w:rsidRDefault="00000000">
            <w:pPr>
              <w:spacing w:after="0"/>
            </w:pPr>
            <w:r>
              <w:rPr>
                <w:sz w:val="18"/>
              </w:rPr>
              <w:t>≈ 2.254%</w:t>
            </w:r>
          </w:p>
        </w:tc>
        <w:tc>
          <w:tcPr>
            <w:tcW w:w="3888" w:type="dxa"/>
            <w:shd w:val="clear" w:color="auto" w:fill="F2F6FA"/>
            <w:vAlign w:val="center"/>
          </w:tcPr>
          <w:p w14:paraId="0137DDF5" w14:textId="77777777" w:rsidR="005F4712" w:rsidRDefault="00000000">
            <w:pPr>
              <w:spacing w:after="0"/>
            </w:pPr>
            <w:r>
              <w:rPr>
                <w:sz w:val="18"/>
              </w:rPr>
              <w:t>Does not meet ≤ 2%</w:t>
            </w:r>
          </w:p>
        </w:tc>
      </w:tr>
      <w:tr w:rsidR="005F4712" w14:paraId="5211DC75" w14:textId="77777777">
        <w:trPr>
          <w:cantSplit/>
          <w:jc w:val="center"/>
        </w:trPr>
        <w:tc>
          <w:tcPr>
            <w:tcW w:w="1584" w:type="dxa"/>
            <w:vAlign w:val="center"/>
          </w:tcPr>
          <w:p w14:paraId="651F8686" w14:textId="77777777" w:rsidR="005F4712" w:rsidRDefault="00000000">
            <w:pPr>
              <w:spacing w:after="0"/>
            </w:pPr>
            <w:r>
              <w:rPr>
                <w:sz w:val="18"/>
              </w:rPr>
              <w:t>92</w:t>
            </w:r>
          </w:p>
        </w:tc>
        <w:tc>
          <w:tcPr>
            <w:tcW w:w="3600" w:type="dxa"/>
            <w:vAlign w:val="center"/>
          </w:tcPr>
          <w:p w14:paraId="0578A344" w14:textId="77777777" w:rsidR="005F4712" w:rsidRDefault="00000000">
            <w:pPr>
              <w:spacing w:after="0"/>
            </w:pPr>
            <w:r>
              <w:rPr>
                <w:sz w:val="18"/>
              </w:rPr>
              <w:t>≈ 1.92%</w:t>
            </w:r>
          </w:p>
        </w:tc>
        <w:tc>
          <w:tcPr>
            <w:tcW w:w="3888" w:type="dxa"/>
            <w:vAlign w:val="center"/>
          </w:tcPr>
          <w:p w14:paraId="001C205A" w14:textId="77777777" w:rsidR="005F4712" w:rsidRDefault="00000000">
            <w:pPr>
              <w:spacing w:after="0"/>
            </w:pPr>
            <w:r>
              <w:rPr>
                <w:sz w:val="18"/>
              </w:rPr>
              <w:t>Meets ≤ 2%</w:t>
            </w:r>
          </w:p>
        </w:tc>
      </w:tr>
      <w:tr w:rsidR="005F4712" w14:paraId="7AFA5A24" w14:textId="77777777">
        <w:trPr>
          <w:cantSplit/>
          <w:jc w:val="center"/>
        </w:trPr>
        <w:tc>
          <w:tcPr>
            <w:tcW w:w="1584" w:type="dxa"/>
            <w:shd w:val="clear" w:color="auto" w:fill="F2F6FA"/>
            <w:vAlign w:val="center"/>
          </w:tcPr>
          <w:p w14:paraId="12436474" w14:textId="77777777" w:rsidR="005F4712" w:rsidRDefault="00000000">
            <w:pPr>
              <w:spacing w:after="0"/>
            </w:pPr>
            <w:r>
              <w:rPr>
                <w:sz w:val="18"/>
              </w:rPr>
              <w:t>100</w:t>
            </w:r>
          </w:p>
        </w:tc>
        <w:tc>
          <w:tcPr>
            <w:tcW w:w="3600" w:type="dxa"/>
            <w:shd w:val="clear" w:color="auto" w:fill="F2F6FA"/>
            <w:vAlign w:val="center"/>
          </w:tcPr>
          <w:p w14:paraId="3E715FE0" w14:textId="77777777" w:rsidR="005F4712" w:rsidRDefault="00000000">
            <w:pPr>
              <w:spacing w:after="0"/>
            </w:pPr>
            <w:r>
              <w:rPr>
                <w:sz w:val="18"/>
              </w:rPr>
              <w:t>≈ 0.399%</w:t>
            </w:r>
          </w:p>
        </w:tc>
        <w:tc>
          <w:tcPr>
            <w:tcW w:w="3888" w:type="dxa"/>
            <w:shd w:val="clear" w:color="auto" w:fill="F2F6FA"/>
            <w:vAlign w:val="center"/>
          </w:tcPr>
          <w:p w14:paraId="1E77F4E3" w14:textId="77777777" w:rsidR="005F4712" w:rsidRDefault="00000000">
            <w:pPr>
              <w:spacing w:after="0"/>
            </w:pPr>
            <w:r>
              <w:rPr>
                <w:sz w:val="18"/>
              </w:rPr>
              <w:t>Meets ≤ 2%</w:t>
            </w:r>
          </w:p>
        </w:tc>
      </w:tr>
    </w:tbl>
    <w:p w14:paraId="71610153" w14:textId="77777777" w:rsidR="005F4712" w:rsidRDefault="005F4712"/>
    <w:p w14:paraId="317CBCDF" w14:textId="77777777" w:rsidR="005F4712" w:rsidRDefault="00000000">
      <w:pPr>
        <w:spacing w:before="40" w:after="140"/>
        <w:jc w:val="center"/>
      </w:pPr>
      <w:r>
        <w:rPr>
          <w:rFonts w:ascii="Cambria Math" w:hAnsi="Cambria Math"/>
          <w:b/>
          <w:color w:val="1F4E79"/>
          <w:sz w:val="22"/>
        </w:rPr>
        <w:t>Minimum required channels = 92</w:t>
      </w:r>
    </w:p>
    <w:p w14:paraId="19668A42" w14:textId="77777777" w:rsidR="005F4712" w:rsidRDefault="00000000">
      <w:r>
        <w:t>Therefore, 92 is the smallest channel count that satisfies the target under the model.</w:t>
      </w:r>
    </w:p>
    <w:p w14:paraId="0DD2D840" w14:textId="77777777" w:rsidR="005F4712" w:rsidRDefault="00000000">
      <w:pPr>
        <w:pStyle w:val="Heading2"/>
      </w:pPr>
      <w:r>
        <w:t>4.5 Number of 100-channel groups</w:t>
      </w:r>
    </w:p>
    <w:p w14:paraId="6CBED3A8" w14:textId="77777777" w:rsidR="005F4712" w:rsidRDefault="00000000">
      <w:pPr>
        <w:spacing w:before="40" w:after="140"/>
        <w:jc w:val="center"/>
      </w:pPr>
      <w:r>
        <w:rPr>
          <w:rFonts w:ascii="Cambria Math" w:hAnsi="Cambria Math"/>
          <w:b/>
          <w:color w:val="1F4E79"/>
          <w:sz w:val="22"/>
        </w:rPr>
        <w:t>Groups = ceiling(92 / 100) = 1 group</w:t>
      </w:r>
    </w:p>
    <w:p w14:paraId="6FCACE03" w14:textId="77777777" w:rsidR="005F4712" w:rsidRDefault="00000000">
      <w:r>
        <w:t>One 100-channel group is sufficient in this first-order calculation. This is not a complete site plan: the result does not account for geographic distribution of users, frequency reuse between cells, control/signalling channels, channel availability by band, sectorization, site constraints or traffic growth.</w:t>
      </w:r>
    </w:p>
    <w:p w14:paraId="524E3E34" w14:textId="77777777" w:rsidR="005F4712" w:rsidRDefault="00000000">
      <w:pPr>
        <w:pStyle w:val="Heading2"/>
      </w:pPr>
      <w:r>
        <w:t>4.6 Capacity and infrastructure trade-offs</w:t>
      </w:r>
    </w:p>
    <w:p w14:paraId="1EB52723" w14:textId="77777777" w:rsidR="005F4712" w:rsidRDefault="00000000">
      <w:r>
        <w:t>Adding channels can reduce blocking but requires sufficient spectrum and radio resources. Adding sites or sectors can distribute traffic and improve spatial reuse, but increases capital, energy, backhaul and maintenance requirements. The offered-traffic model assumes that the 1,000 subscribers collectively average 0.08 Erlang during the busy hour and that the Erlang B loss-system assumptions are suitable. Actual traffic measurements should replace these assumptions before detailed design.</w:t>
      </w:r>
    </w:p>
    <w:p w14:paraId="26AB1FD1" w14:textId="77777777" w:rsidR="005F4712" w:rsidRDefault="00000000">
      <w:pPr>
        <w:pStyle w:val="Heading1"/>
      </w:pPr>
      <w:r>
        <w:t>5. Stage 4 – Mobility and Handoff</w:t>
      </w:r>
    </w:p>
    <w:p w14:paraId="0DF04DF3" w14:textId="77777777" w:rsidR="005F4712" w:rsidRDefault="00000000">
      <w:pPr>
        <w:pStyle w:val="Heading2"/>
      </w:pPr>
      <w:r>
        <w:t>5.1 Distance travelled during the overlap interval</w:t>
      </w:r>
    </w:p>
    <w:p w14:paraId="56EB1F85" w14:textId="77777777" w:rsidR="005F4712" w:rsidRDefault="00000000">
      <w:pPr>
        <w:spacing w:before="40" w:after="140"/>
        <w:jc w:val="center"/>
      </w:pPr>
      <w:r>
        <w:rPr>
          <w:rFonts w:ascii="Cambria Math" w:hAnsi="Cambria Math"/>
          <w:b/>
          <w:color w:val="1F4E79"/>
          <w:sz w:val="22"/>
        </w:rPr>
        <w:t>v = 60 km/h × (1,000 m / 3,600 s) = 16.667 m/s</w:t>
      </w:r>
    </w:p>
    <w:p w14:paraId="15250CA8" w14:textId="77777777" w:rsidR="005F4712" w:rsidRDefault="00000000">
      <w:pPr>
        <w:spacing w:before="40" w:after="140"/>
        <w:jc w:val="center"/>
      </w:pPr>
      <w:r>
        <w:rPr>
          <w:rFonts w:ascii="Cambria Math" w:hAnsi="Cambria Math"/>
          <w:b/>
          <w:color w:val="1F4E79"/>
          <w:sz w:val="22"/>
        </w:rPr>
        <w:t>d = v × t = 16.667 m/s × 6 s = 100 m</w:t>
      </w:r>
    </w:p>
    <w:p w14:paraId="49634C9E" w14:textId="77777777" w:rsidR="005F4712" w:rsidRDefault="00000000">
      <w:r>
        <w:t>The mobile travels approximately 100 m during the six-second overlap-zone dwell interval.</w:t>
      </w:r>
    </w:p>
    <w:p w14:paraId="017F1D19" w14:textId="77777777" w:rsidR="005F4712" w:rsidRDefault="00000000">
      <w:pPr>
        <w:pStyle w:val="Heading2"/>
      </w:pPr>
      <w:r>
        <w:t>5.2 Estimated hard handoffs per minute</w:t>
      </w:r>
    </w:p>
    <w:p w14:paraId="048BF771" w14:textId="77777777" w:rsidR="005F4712" w:rsidRDefault="00000000">
      <w:r>
        <w:t>The supplied nominal route cell length is 1 km. The interpretation used here is that a mobile travelling along the route crosses one cell boundary for each 1 km of travel.</w:t>
      </w:r>
    </w:p>
    <w:p w14:paraId="08A055BD" w14:textId="77777777" w:rsidR="005F4712" w:rsidRDefault="00000000">
      <w:pPr>
        <w:spacing w:before="40" w:after="140"/>
        <w:jc w:val="center"/>
      </w:pPr>
      <w:r>
        <w:rPr>
          <w:rFonts w:ascii="Cambria Math" w:hAnsi="Cambria Math"/>
          <w:b/>
          <w:color w:val="1F4E79"/>
          <w:sz w:val="22"/>
        </w:rPr>
        <w:t>Distance per minute = 60 km/h × (1 h / 60 min) = 1 km/min</w:t>
      </w:r>
    </w:p>
    <w:p w14:paraId="0A05EEAA" w14:textId="77777777" w:rsidR="005F4712" w:rsidRDefault="00000000">
      <w:pPr>
        <w:spacing w:before="40" w:after="140"/>
        <w:jc w:val="center"/>
      </w:pPr>
      <w:r>
        <w:rPr>
          <w:rFonts w:ascii="Cambria Math" w:hAnsi="Cambria Math"/>
          <w:b/>
          <w:color w:val="1F4E79"/>
          <w:sz w:val="22"/>
        </w:rPr>
        <w:t>Estimated handoffs ≈ 1 km/min ÷ 1 km per cell = 1 handoff/min</w:t>
      </w:r>
    </w:p>
    <w:p w14:paraId="20A1B068" w14:textId="77777777" w:rsidR="005F4712" w:rsidRDefault="00000000">
      <w:r>
        <w:t>The estimated rate is about one handoff per minute under this simplified route geometry. Real handoff rates depend on cell shape, route alignment, overlap, signal thresholds, load balancing and network configuration.</w:t>
      </w:r>
    </w:p>
    <w:p w14:paraId="75F937BD" w14:textId="77777777" w:rsidR="005F4712" w:rsidRDefault="00000000">
      <w:pPr>
        <w:pStyle w:val="Heading2"/>
      </w:pPr>
      <w:r>
        <w:lastRenderedPageBreak/>
        <w:t>5.3 Hard, soft and softer handoff</w:t>
      </w:r>
    </w:p>
    <w:tbl>
      <w:tblPr>
        <w:tblStyle w:val="TableGrid"/>
        <w:tblW w:w="0" w:type="auto"/>
        <w:jc w:val="center"/>
        <w:tblLook w:val="04A0" w:firstRow="1" w:lastRow="0" w:firstColumn="1" w:lastColumn="0" w:noHBand="0" w:noVBand="1"/>
      </w:tblPr>
      <w:tblGrid>
        <w:gridCol w:w="1440"/>
        <w:gridCol w:w="3168"/>
        <w:gridCol w:w="4464"/>
      </w:tblGrid>
      <w:tr w:rsidR="005F4712" w14:paraId="78F8F02B" w14:textId="77777777">
        <w:trPr>
          <w:cantSplit/>
          <w:jc w:val="center"/>
        </w:trPr>
        <w:tc>
          <w:tcPr>
            <w:tcW w:w="1440" w:type="dxa"/>
            <w:shd w:val="clear" w:color="auto" w:fill="17365D"/>
            <w:vAlign w:val="center"/>
          </w:tcPr>
          <w:p w14:paraId="74DC3548" w14:textId="77777777" w:rsidR="005F4712" w:rsidRDefault="00000000">
            <w:pPr>
              <w:spacing w:after="0"/>
            </w:pPr>
            <w:r>
              <w:rPr>
                <w:b/>
                <w:color w:val="FFFFFF"/>
                <w:sz w:val="18"/>
              </w:rPr>
              <w:t>Handoff type</w:t>
            </w:r>
          </w:p>
        </w:tc>
        <w:tc>
          <w:tcPr>
            <w:tcW w:w="3168" w:type="dxa"/>
            <w:shd w:val="clear" w:color="auto" w:fill="17365D"/>
            <w:vAlign w:val="center"/>
          </w:tcPr>
          <w:p w14:paraId="3EF51374" w14:textId="77777777" w:rsidR="005F4712" w:rsidRDefault="00000000">
            <w:pPr>
              <w:spacing w:after="0"/>
            </w:pPr>
            <w:r>
              <w:rPr>
                <w:b/>
                <w:color w:val="FFFFFF"/>
                <w:sz w:val="18"/>
              </w:rPr>
              <w:t>Connection continuity</w:t>
            </w:r>
          </w:p>
        </w:tc>
        <w:tc>
          <w:tcPr>
            <w:tcW w:w="4464" w:type="dxa"/>
            <w:shd w:val="clear" w:color="auto" w:fill="17365D"/>
            <w:vAlign w:val="center"/>
          </w:tcPr>
          <w:p w14:paraId="5AF80C33" w14:textId="77777777" w:rsidR="005F4712" w:rsidRDefault="00000000">
            <w:pPr>
              <w:spacing w:after="0"/>
            </w:pPr>
            <w:r>
              <w:rPr>
                <w:b/>
                <w:color w:val="FFFFFF"/>
                <w:sz w:val="18"/>
              </w:rPr>
              <w:t>Resource use and engineering notes</w:t>
            </w:r>
          </w:p>
        </w:tc>
      </w:tr>
      <w:tr w:rsidR="005F4712" w14:paraId="4535AD36" w14:textId="77777777">
        <w:trPr>
          <w:cantSplit/>
          <w:jc w:val="center"/>
        </w:trPr>
        <w:tc>
          <w:tcPr>
            <w:tcW w:w="1440" w:type="dxa"/>
            <w:shd w:val="clear" w:color="auto" w:fill="F2F6FA"/>
            <w:vAlign w:val="center"/>
          </w:tcPr>
          <w:p w14:paraId="01229431" w14:textId="77777777" w:rsidR="005F4712" w:rsidRDefault="00000000">
            <w:pPr>
              <w:spacing w:after="0"/>
            </w:pPr>
            <w:r>
              <w:rPr>
                <w:sz w:val="18"/>
              </w:rPr>
              <w:t>Hard</w:t>
            </w:r>
          </w:p>
        </w:tc>
        <w:tc>
          <w:tcPr>
            <w:tcW w:w="3168" w:type="dxa"/>
            <w:shd w:val="clear" w:color="auto" w:fill="F2F6FA"/>
            <w:vAlign w:val="center"/>
          </w:tcPr>
          <w:p w14:paraId="269BC4F0" w14:textId="77777777" w:rsidR="005F4712" w:rsidRDefault="00000000">
            <w:pPr>
              <w:spacing w:after="0"/>
            </w:pPr>
            <w:r>
              <w:rPr>
                <w:sz w:val="18"/>
              </w:rPr>
              <w:t>Break-before-make; the serving connection is released as the new one is established.</w:t>
            </w:r>
          </w:p>
        </w:tc>
        <w:tc>
          <w:tcPr>
            <w:tcW w:w="4464" w:type="dxa"/>
            <w:shd w:val="clear" w:color="auto" w:fill="F2F6FA"/>
            <w:vAlign w:val="center"/>
          </w:tcPr>
          <w:p w14:paraId="40DEFA50" w14:textId="77777777" w:rsidR="005F4712" w:rsidRDefault="00000000">
            <w:pPr>
              <w:spacing w:after="0"/>
            </w:pPr>
            <w:r>
              <w:rPr>
                <w:sz w:val="18"/>
              </w:rPr>
              <w:t>Can be efficient in radio-resource terms but may cause a brief interruption or failure if transition timing is poor.</w:t>
            </w:r>
          </w:p>
        </w:tc>
      </w:tr>
      <w:tr w:rsidR="005F4712" w14:paraId="2F3EAC1C" w14:textId="77777777">
        <w:trPr>
          <w:cantSplit/>
          <w:jc w:val="center"/>
        </w:trPr>
        <w:tc>
          <w:tcPr>
            <w:tcW w:w="1440" w:type="dxa"/>
            <w:vAlign w:val="center"/>
          </w:tcPr>
          <w:p w14:paraId="3742C031" w14:textId="77777777" w:rsidR="005F4712" w:rsidRDefault="00000000">
            <w:pPr>
              <w:spacing w:after="0"/>
            </w:pPr>
            <w:r>
              <w:rPr>
                <w:sz w:val="18"/>
              </w:rPr>
              <w:t>Soft</w:t>
            </w:r>
          </w:p>
        </w:tc>
        <w:tc>
          <w:tcPr>
            <w:tcW w:w="3168" w:type="dxa"/>
            <w:vAlign w:val="center"/>
          </w:tcPr>
          <w:p w14:paraId="16D3EDE5" w14:textId="77777777" w:rsidR="005F4712" w:rsidRDefault="00000000">
            <w:pPr>
              <w:spacing w:after="0"/>
            </w:pPr>
            <w:r>
              <w:rPr>
                <w:sz w:val="18"/>
              </w:rPr>
              <w:t>Make-before-break; a mobile may maintain links with multiple base stations during transition in systems that support it.</w:t>
            </w:r>
          </w:p>
        </w:tc>
        <w:tc>
          <w:tcPr>
            <w:tcW w:w="4464" w:type="dxa"/>
            <w:vAlign w:val="center"/>
          </w:tcPr>
          <w:p w14:paraId="5B5A38B7" w14:textId="77777777" w:rsidR="005F4712" w:rsidRDefault="00000000">
            <w:pPr>
              <w:spacing w:after="0"/>
            </w:pPr>
            <w:r>
              <w:rPr>
                <w:sz w:val="18"/>
              </w:rPr>
              <w:t>Can improve continuity but consumes additional radio/network resources during the overlap.</w:t>
            </w:r>
          </w:p>
        </w:tc>
      </w:tr>
      <w:tr w:rsidR="005F4712" w14:paraId="4B01598A" w14:textId="77777777">
        <w:trPr>
          <w:cantSplit/>
          <w:jc w:val="center"/>
        </w:trPr>
        <w:tc>
          <w:tcPr>
            <w:tcW w:w="1440" w:type="dxa"/>
            <w:shd w:val="clear" w:color="auto" w:fill="F2F6FA"/>
            <w:vAlign w:val="center"/>
          </w:tcPr>
          <w:p w14:paraId="125D69AB" w14:textId="77777777" w:rsidR="005F4712" w:rsidRDefault="00000000">
            <w:pPr>
              <w:spacing w:after="0"/>
            </w:pPr>
            <w:r>
              <w:rPr>
                <w:sz w:val="18"/>
              </w:rPr>
              <w:t>Softer</w:t>
            </w:r>
          </w:p>
        </w:tc>
        <w:tc>
          <w:tcPr>
            <w:tcW w:w="3168" w:type="dxa"/>
            <w:shd w:val="clear" w:color="auto" w:fill="F2F6FA"/>
            <w:vAlign w:val="center"/>
          </w:tcPr>
          <w:p w14:paraId="24AB8124" w14:textId="77777777" w:rsidR="005F4712" w:rsidRDefault="00000000">
            <w:pPr>
              <w:spacing w:after="0"/>
            </w:pPr>
            <w:r>
              <w:rPr>
                <w:sz w:val="18"/>
              </w:rPr>
              <w:t>Handoff between sectors controlled by the same base station.</w:t>
            </w:r>
          </w:p>
        </w:tc>
        <w:tc>
          <w:tcPr>
            <w:tcW w:w="4464" w:type="dxa"/>
            <w:shd w:val="clear" w:color="auto" w:fill="F2F6FA"/>
            <w:vAlign w:val="center"/>
          </w:tcPr>
          <w:p w14:paraId="62860882" w14:textId="77777777" w:rsidR="005F4712" w:rsidRDefault="00000000">
            <w:pPr>
              <w:spacing w:after="0"/>
            </w:pPr>
            <w:r>
              <w:rPr>
                <w:sz w:val="18"/>
              </w:rPr>
              <w:t>Requires sector-level coordination; may improve continuity while using additional sector resources.</w:t>
            </w:r>
          </w:p>
        </w:tc>
      </w:tr>
    </w:tbl>
    <w:p w14:paraId="0DD4D5B5" w14:textId="77777777" w:rsidR="005F4712" w:rsidRDefault="005F4712"/>
    <w:p w14:paraId="39173AAD" w14:textId="77777777" w:rsidR="005F4712" w:rsidRDefault="00000000">
      <w:pPr>
        <w:pStyle w:val="Heading2"/>
      </w:pPr>
      <w:r>
        <w:t>5.4 Simple call-drop risk estimate</w:t>
      </w:r>
    </w:p>
    <w:p w14:paraId="4B32C1FC" w14:textId="77777777" w:rsidR="005F4712" w:rsidRDefault="00000000">
      <w:r>
        <w:t>The assignment supplies a target-cell unavailability of 1%. For a deliberately simplified estimate, assume a handoff fails if and only if the target cell is unavailable, and assume that target availability is independent of all other handoff factors.</w:t>
      </w:r>
    </w:p>
    <w:p w14:paraId="7548B0CB" w14:textId="77777777" w:rsidR="005F4712" w:rsidRDefault="00000000">
      <w:pPr>
        <w:spacing w:before="40" w:after="140"/>
        <w:jc w:val="center"/>
      </w:pPr>
      <w:r>
        <w:rPr>
          <w:rFonts w:ascii="Cambria Math" w:hAnsi="Cambria Math"/>
          <w:b/>
          <w:color w:val="1F4E79"/>
          <w:sz w:val="22"/>
        </w:rPr>
        <w:t>P(drop per handoff) ≈ P(target unavailable) = 0.01 = 1%</w:t>
      </w:r>
    </w:p>
    <w:p w14:paraId="00B34A32" w14:textId="77777777" w:rsidR="005F4712" w:rsidRDefault="00000000">
      <w:r>
        <w:t>Under this simplified assumption, the per-handoff drop risk is approximately 1%. The supplied handoff interruption is 0.5 s, but interruption duration alone does not determine whether a call drops. It describes a possible service gap during the transition, not a probability.</w:t>
      </w:r>
    </w:p>
    <w:p w14:paraId="793209BF" w14:textId="77777777" w:rsidR="005F4712" w:rsidRDefault="00000000">
      <w:r>
        <w:t>As an illustration only, if 100 handoffs each had independent 1% failure probability, the probability of at least one failure would be:</w:t>
      </w:r>
    </w:p>
    <w:p w14:paraId="0FACDD53" w14:textId="77777777" w:rsidR="005F4712" w:rsidRDefault="00000000">
      <w:pPr>
        <w:spacing w:before="40" w:after="140"/>
        <w:jc w:val="center"/>
      </w:pPr>
      <w:r>
        <w:rPr>
          <w:rFonts w:ascii="Cambria Math" w:hAnsi="Cambria Math"/>
          <w:b/>
          <w:color w:val="1F4E79"/>
          <w:sz w:val="22"/>
        </w:rPr>
        <w:t>P(at least one) = 1 − (1 − 0.01)¹⁰⁰ ≈ 63.4%</w:t>
      </w:r>
    </w:p>
    <w:p w14:paraId="75B37E9C" w14:textId="77777777" w:rsidR="005F4712" w:rsidRDefault="00000000">
      <w:r>
        <w:t>This is not a validated network prediction. It assumes independence and identical risk at every handoff. Actual call-drop estimation needs handoff success statistics, radio-link conditions, target-cell admission/load, overlap duration, timing, mobility pattern and failure-recovery behaviour.</w:t>
      </w:r>
    </w:p>
    <w:p w14:paraId="020D0F20" w14:textId="77777777" w:rsidR="005F4712" w:rsidRDefault="00000000">
      <w:pPr>
        <w:pStyle w:val="Heading1"/>
      </w:pPr>
      <w:r>
        <w:t>6. Stage 5 – Interference and Spectrum-Band Comparison</w:t>
      </w:r>
    </w:p>
    <w:p w14:paraId="4A09FA31" w14:textId="77777777" w:rsidR="005F4712" w:rsidRDefault="00000000">
      <w:pPr>
        <w:pStyle w:val="Heading2"/>
      </w:pPr>
      <w:r>
        <w:t>6.1 Carrier-to-interference ratio for the co-channel interferer</w:t>
      </w:r>
    </w:p>
    <w:p w14:paraId="7BD01326" w14:textId="77777777" w:rsidR="005F4712" w:rsidRDefault="00000000">
      <w:r>
        <w:t>The desired signal is S = −70 dBm and the co-channel interference is I₁ = −85 dBm. For powers expressed in dBm, their ratio in dB is found by subtraction:</w:t>
      </w:r>
    </w:p>
    <w:p w14:paraId="787B987B" w14:textId="77777777" w:rsidR="005F4712" w:rsidRDefault="00000000">
      <w:pPr>
        <w:spacing w:before="40" w:after="140"/>
        <w:jc w:val="center"/>
      </w:pPr>
      <w:r>
        <w:rPr>
          <w:rFonts w:ascii="Cambria Math" w:hAnsi="Cambria Math"/>
          <w:b/>
          <w:color w:val="1F4E79"/>
          <w:sz w:val="22"/>
        </w:rPr>
        <w:t>C/I₁ = S − I₁ = (−70) − (−85) = 15 dB</w:t>
      </w:r>
    </w:p>
    <w:p w14:paraId="3895944E" w14:textId="77777777" w:rsidR="005F4712" w:rsidRDefault="00000000">
      <w:r>
        <w:t>The co-channel-only C/I is 15 dB. This is not the final SINR because the adjacent-channel interference is also specified.</w:t>
      </w:r>
    </w:p>
    <w:p w14:paraId="5D674448" w14:textId="77777777" w:rsidR="005F4712" w:rsidRDefault="00000000">
      <w:pPr>
        <w:pStyle w:val="Heading2"/>
      </w:pPr>
      <w:r>
        <w:t>6.2 Add interference in linear power units</w:t>
      </w:r>
    </w:p>
    <w:p w14:paraId="5DB37717" w14:textId="77777777" w:rsidR="005F4712" w:rsidRDefault="00000000">
      <w:r>
        <w:t>dBm values must not be added directly. Convert the two powers to linear milliwatts, add them, and convert the sum back to dBm.</w:t>
      </w:r>
    </w:p>
    <w:p w14:paraId="48EC8DA3" w14:textId="77777777" w:rsidR="005F4712" w:rsidRDefault="00000000">
      <w:pPr>
        <w:spacing w:before="40" w:after="140"/>
        <w:jc w:val="center"/>
      </w:pPr>
      <w:r>
        <w:rPr>
          <w:rFonts w:ascii="Cambria Math" w:hAnsi="Cambria Math"/>
          <w:b/>
          <w:color w:val="1F4E79"/>
          <w:sz w:val="22"/>
        </w:rPr>
        <w:t>I₁ = 10^(−85/10) mW ≈ 3.1623 × 10⁻⁹ mW</w:t>
      </w:r>
    </w:p>
    <w:p w14:paraId="36028FB7" w14:textId="77777777" w:rsidR="005F4712" w:rsidRDefault="00000000">
      <w:pPr>
        <w:spacing w:before="40" w:after="140"/>
        <w:jc w:val="center"/>
      </w:pPr>
      <w:r>
        <w:rPr>
          <w:rFonts w:ascii="Cambria Math" w:hAnsi="Cambria Math"/>
          <w:b/>
          <w:color w:val="1F4E79"/>
          <w:sz w:val="22"/>
        </w:rPr>
        <w:t>I₂ = 10^(−90/10) mW = 1.0000 × 10⁻⁹ mW</w:t>
      </w:r>
    </w:p>
    <w:p w14:paraId="1B502FBB" w14:textId="77777777" w:rsidR="005F4712" w:rsidRDefault="00000000">
      <w:pPr>
        <w:spacing w:before="40" w:after="140"/>
        <w:jc w:val="center"/>
      </w:pPr>
      <w:r>
        <w:rPr>
          <w:rFonts w:ascii="Cambria Math" w:hAnsi="Cambria Math"/>
          <w:b/>
          <w:color w:val="1F4E79"/>
          <w:sz w:val="22"/>
        </w:rPr>
        <w:t>Itotal = 10 log₁₀(10^(−85/10) + 10^(−90/10))</w:t>
      </w:r>
    </w:p>
    <w:p w14:paraId="6E43E103" w14:textId="77777777" w:rsidR="005F4712" w:rsidRDefault="00000000">
      <w:pPr>
        <w:spacing w:before="40" w:after="140"/>
        <w:jc w:val="center"/>
      </w:pPr>
      <w:r>
        <w:rPr>
          <w:rFonts w:ascii="Cambria Math" w:hAnsi="Cambria Math"/>
          <w:b/>
          <w:color w:val="1F4E79"/>
          <w:sz w:val="22"/>
        </w:rPr>
        <w:t>Itotal ≈ −83.81 dBm</w:t>
      </w:r>
    </w:p>
    <w:p w14:paraId="3D1C2641" w14:textId="77777777" w:rsidR="005F4712" w:rsidRDefault="00000000">
      <w:r>
        <w:t>The combined interference power is approximately −83.81 dBm.</w:t>
      </w:r>
    </w:p>
    <w:p w14:paraId="7BF45052" w14:textId="77777777" w:rsidR="005F4712" w:rsidRDefault="00000000">
      <w:pPr>
        <w:pStyle w:val="Heading2"/>
      </w:pPr>
      <w:r>
        <w:lastRenderedPageBreak/>
        <w:t>6.3 SINR and target assessment</w:t>
      </w:r>
    </w:p>
    <w:p w14:paraId="66BA4948" w14:textId="77777777" w:rsidR="005F4712" w:rsidRDefault="00000000">
      <w:r>
        <w:t>The general SINR expression includes receiver noise power N:</w:t>
      </w:r>
    </w:p>
    <w:p w14:paraId="139A33CA" w14:textId="77777777" w:rsidR="005F4712" w:rsidRDefault="00000000">
      <w:pPr>
        <w:spacing w:before="40" w:after="140"/>
        <w:jc w:val="center"/>
      </w:pPr>
      <w:r>
        <w:rPr>
          <w:rFonts w:ascii="Cambria Math" w:hAnsi="Cambria Math"/>
          <w:b/>
          <w:color w:val="1F4E79"/>
          <w:sz w:val="22"/>
        </w:rPr>
        <w:t>SINR = S / (I₁ + I₂ + N) in linear power units</w:t>
      </w:r>
    </w:p>
    <w:p w14:paraId="1DC17DB0" w14:textId="77777777" w:rsidR="005F4712" w:rsidRDefault="00000000">
      <w:r>
        <w:t>Because the assignment does not supply N, the numerical calculation below neglects noise and reports the interference-limited approximation. This gives an upper bound on SINR; including non-zero noise would reduce it.</w:t>
      </w:r>
    </w:p>
    <w:p w14:paraId="22FF9059" w14:textId="77777777" w:rsidR="005F4712" w:rsidRDefault="00000000">
      <w:pPr>
        <w:spacing w:before="40" w:after="140"/>
        <w:jc w:val="center"/>
      </w:pPr>
      <w:r>
        <w:rPr>
          <w:rFonts w:ascii="Cambria Math" w:hAnsi="Cambria Math"/>
          <w:b/>
          <w:color w:val="1F4E79"/>
          <w:sz w:val="22"/>
        </w:rPr>
        <w:t>SINR ≈ S(dBm) − Itotal(dBm)</w:t>
      </w:r>
    </w:p>
    <w:p w14:paraId="41515DC7" w14:textId="77777777" w:rsidR="005F4712" w:rsidRDefault="00000000">
      <w:pPr>
        <w:spacing w:before="40" w:after="140"/>
        <w:jc w:val="center"/>
      </w:pPr>
      <w:r>
        <w:rPr>
          <w:rFonts w:ascii="Cambria Math" w:hAnsi="Cambria Math"/>
          <w:b/>
          <w:color w:val="1F4E79"/>
          <w:sz w:val="22"/>
        </w:rPr>
        <w:t>SINR ≈ (−70) − (−83.81) = 13.81 dB</w:t>
      </w:r>
    </w:p>
    <w:tbl>
      <w:tblPr>
        <w:tblStyle w:val="TableGrid"/>
        <w:tblW w:w="0" w:type="auto"/>
        <w:jc w:val="center"/>
        <w:tblLook w:val="04A0" w:firstRow="1" w:lastRow="0" w:firstColumn="1" w:lastColumn="0" w:noHBand="0" w:noVBand="1"/>
      </w:tblPr>
      <w:tblGrid>
        <w:gridCol w:w="2448"/>
        <w:gridCol w:w="2304"/>
        <w:gridCol w:w="4320"/>
      </w:tblGrid>
      <w:tr w:rsidR="005F4712" w14:paraId="178D8041" w14:textId="77777777">
        <w:trPr>
          <w:cantSplit/>
          <w:jc w:val="center"/>
        </w:trPr>
        <w:tc>
          <w:tcPr>
            <w:tcW w:w="2448" w:type="dxa"/>
            <w:shd w:val="clear" w:color="auto" w:fill="17365D"/>
            <w:vAlign w:val="center"/>
          </w:tcPr>
          <w:p w14:paraId="69878504" w14:textId="77777777" w:rsidR="005F4712" w:rsidRDefault="00000000">
            <w:pPr>
              <w:spacing w:after="0"/>
            </w:pPr>
            <w:r>
              <w:rPr>
                <w:b/>
                <w:color w:val="FFFFFF"/>
                <w:sz w:val="18"/>
              </w:rPr>
              <w:t>Metric</w:t>
            </w:r>
          </w:p>
        </w:tc>
        <w:tc>
          <w:tcPr>
            <w:tcW w:w="2304" w:type="dxa"/>
            <w:shd w:val="clear" w:color="auto" w:fill="17365D"/>
            <w:vAlign w:val="center"/>
          </w:tcPr>
          <w:p w14:paraId="0F06CF9C" w14:textId="77777777" w:rsidR="005F4712" w:rsidRDefault="00000000">
            <w:pPr>
              <w:spacing w:after="0"/>
            </w:pPr>
            <w:r>
              <w:rPr>
                <w:b/>
                <w:color w:val="FFFFFF"/>
                <w:sz w:val="18"/>
              </w:rPr>
              <w:t>Calculated result</w:t>
            </w:r>
          </w:p>
        </w:tc>
        <w:tc>
          <w:tcPr>
            <w:tcW w:w="4320" w:type="dxa"/>
            <w:shd w:val="clear" w:color="auto" w:fill="17365D"/>
            <w:vAlign w:val="center"/>
          </w:tcPr>
          <w:p w14:paraId="13574F65" w14:textId="77777777" w:rsidR="005F4712" w:rsidRDefault="00000000">
            <w:pPr>
              <w:spacing w:after="0"/>
            </w:pPr>
            <w:r>
              <w:rPr>
                <w:b/>
                <w:color w:val="FFFFFF"/>
                <w:sz w:val="18"/>
              </w:rPr>
              <w:t>Interpretation</w:t>
            </w:r>
          </w:p>
        </w:tc>
      </w:tr>
      <w:tr w:rsidR="005F4712" w14:paraId="7B2D7AE4" w14:textId="77777777">
        <w:trPr>
          <w:cantSplit/>
          <w:jc w:val="center"/>
        </w:trPr>
        <w:tc>
          <w:tcPr>
            <w:tcW w:w="2448" w:type="dxa"/>
            <w:shd w:val="clear" w:color="auto" w:fill="F2F6FA"/>
            <w:vAlign w:val="center"/>
          </w:tcPr>
          <w:p w14:paraId="2A7DF7AF" w14:textId="77777777" w:rsidR="005F4712" w:rsidRDefault="00000000">
            <w:pPr>
              <w:spacing w:after="0"/>
            </w:pPr>
            <w:r>
              <w:rPr>
                <w:sz w:val="18"/>
              </w:rPr>
              <w:t>Co-channel-only C/I</w:t>
            </w:r>
          </w:p>
        </w:tc>
        <w:tc>
          <w:tcPr>
            <w:tcW w:w="2304" w:type="dxa"/>
            <w:shd w:val="clear" w:color="auto" w:fill="F2F6FA"/>
            <w:vAlign w:val="center"/>
          </w:tcPr>
          <w:p w14:paraId="3D93C5A6" w14:textId="77777777" w:rsidR="005F4712" w:rsidRDefault="00000000">
            <w:pPr>
              <w:spacing w:after="0"/>
            </w:pPr>
            <w:r>
              <w:rPr>
                <w:sz w:val="18"/>
              </w:rPr>
              <w:t>15.00 dB</w:t>
            </w:r>
          </w:p>
        </w:tc>
        <w:tc>
          <w:tcPr>
            <w:tcW w:w="4320" w:type="dxa"/>
            <w:shd w:val="clear" w:color="auto" w:fill="F2F6FA"/>
            <w:vAlign w:val="center"/>
          </w:tcPr>
          <w:p w14:paraId="6912394F" w14:textId="77777777" w:rsidR="005F4712" w:rsidRDefault="00000000">
            <w:pPr>
              <w:spacing w:after="0"/>
            </w:pPr>
            <w:r>
              <w:rPr>
                <w:sz w:val="18"/>
              </w:rPr>
              <w:t>Ratio for the first interferer alone.</w:t>
            </w:r>
          </w:p>
        </w:tc>
      </w:tr>
      <w:tr w:rsidR="005F4712" w14:paraId="29D4E86B" w14:textId="77777777">
        <w:trPr>
          <w:cantSplit/>
          <w:jc w:val="center"/>
        </w:trPr>
        <w:tc>
          <w:tcPr>
            <w:tcW w:w="2448" w:type="dxa"/>
            <w:vAlign w:val="center"/>
          </w:tcPr>
          <w:p w14:paraId="1AD06BF3" w14:textId="77777777" w:rsidR="005F4712" w:rsidRDefault="00000000">
            <w:pPr>
              <w:spacing w:after="0"/>
            </w:pPr>
            <w:r>
              <w:rPr>
                <w:sz w:val="18"/>
              </w:rPr>
              <w:t>Combined interference</w:t>
            </w:r>
          </w:p>
        </w:tc>
        <w:tc>
          <w:tcPr>
            <w:tcW w:w="2304" w:type="dxa"/>
            <w:vAlign w:val="center"/>
          </w:tcPr>
          <w:p w14:paraId="48CA0B24" w14:textId="77777777" w:rsidR="005F4712" w:rsidRDefault="00000000">
            <w:pPr>
              <w:spacing w:after="0"/>
            </w:pPr>
            <w:r>
              <w:rPr>
                <w:sz w:val="18"/>
              </w:rPr>
              <w:t>−83.81 dBm</w:t>
            </w:r>
          </w:p>
        </w:tc>
        <w:tc>
          <w:tcPr>
            <w:tcW w:w="4320" w:type="dxa"/>
            <w:vAlign w:val="center"/>
          </w:tcPr>
          <w:p w14:paraId="0A1A30F5" w14:textId="77777777" w:rsidR="005F4712" w:rsidRDefault="00000000">
            <w:pPr>
              <w:spacing w:after="0"/>
            </w:pPr>
            <w:r>
              <w:rPr>
                <w:sz w:val="18"/>
              </w:rPr>
              <w:t>Power sum of co-channel and adjacent-channel sources.</w:t>
            </w:r>
          </w:p>
        </w:tc>
      </w:tr>
      <w:tr w:rsidR="005F4712" w14:paraId="50BEA4C0" w14:textId="77777777">
        <w:trPr>
          <w:cantSplit/>
          <w:jc w:val="center"/>
        </w:trPr>
        <w:tc>
          <w:tcPr>
            <w:tcW w:w="2448" w:type="dxa"/>
            <w:shd w:val="clear" w:color="auto" w:fill="F2F6FA"/>
            <w:vAlign w:val="center"/>
          </w:tcPr>
          <w:p w14:paraId="67E51A4C" w14:textId="77777777" w:rsidR="005F4712" w:rsidRDefault="00000000">
            <w:pPr>
              <w:spacing w:after="0"/>
            </w:pPr>
            <w:r>
              <w:rPr>
                <w:sz w:val="18"/>
              </w:rPr>
              <w:t>Interference-limited SINR</w:t>
            </w:r>
          </w:p>
        </w:tc>
        <w:tc>
          <w:tcPr>
            <w:tcW w:w="2304" w:type="dxa"/>
            <w:shd w:val="clear" w:color="auto" w:fill="F2F6FA"/>
            <w:vAlign w:val="center"/>
          </w:tcPr>
          <w:p w14:paraId="5B2ED61C" w14:textId="77777777" w:rsidR="005F4712" w:rsidRDefault="00000000">
            <w:pPr>
              <w:spacing w:after="0"/>
            </w:pPr>
            <w:r>
              <w:rPr>
                <w:sz w:val="18"/>
              </w:rPr>
              <w:t>13.81 dB</w:t>
            </w:r>
          </w:p>
        </w:tc>
        <w:tc>
          <w:tcPr>
            <w:tcW w:w="4320" w:type="dxa"/>
            <w:shd w:val="clear" w:color="auto" w:fill="F2F6FA"/>
            <w:vAlign w:val="center"/>
          </w:tcPr>
          <w:p w14:paraId="2ED8DDB8" w14:textId="77777777" w:rsidR="005F4712" w:rsidRDefault="00000000">
            <w:pPr>
              <w:spacing w:after="0"/>
            </w:pPr>
            <w:r>
              <w:rPr>
                <w:sz w:val="18"/>
              </w:rPr>
              <w:t>Below the 15 dB target by about 1.19 dB.</w:t>
            </w:r>
          </w:p>
        </w:tc>
      </w:tr>
    </w:tbl>
    <w:p w14:paraId="3CC32979" w14:textId="77777777" w:rsidR="005F4712" w:rsidRDefault="005F4712"/>
    <w:p w14:paraId="261AEAFD" w14:textId="77777777" w:rsidR="005F4712" w:rsidRDefault="00000000">
      <w:r>
        <w:t>Decision: the 15 dB target is not met in the supplied interference case. Since noise has been neglected, the true SINR under non-zero receiver noise would be equal to or below 13.81 dB.</w:t>
      </w:r>
    </w:p>
    <w:p w14:paraId="71B5B231" w14:textId="77777777" w:rsidR="005F4712" w:rsidRDefault="00000000">
      <w:pPr>
        <w:pStyle w:val="Heading2"/>
      </w:pPr>
      <w:r>
        <w:t>6.4 Mitigation and trade-offs</w:t>
      </w:r>
    </w:p>
    <w:p w14:paraId="6281EA2D" w14:textId="77777777" w:rsidR="005F4712" w:rsidRDefault="00000000">
      <w:pPr>
        <w:pStyle w:val="ListBullet"/>
      </w:pPr>
      <w:r>
        <w:t>Optimize antenna azimuth, tilt and sector orientation to reduce unwanted energy while retaining intended coverage.</w:t>
      </w:r>
    </w:p>
    <w:p w14:paraId="2D019B3D" w14:textId="77777777" w:rsidR="005F4712" w:rsidRDefault="00000000">
      <w:pPr>
        <w:pStyle w:val="ListBullet"/>
      </w:pPr>
      <w:r>
        <w:t>Use beamforming or suitable directional antennas to increase desired-signal strength and reduce interference arriving from other directions.</w:t>
      </w:r>
    </w:p>
    <w:p w14:paraId="31AD334D" w14:textId="77777777" w:rsidR="005F4712" w:rsidRDefault="00000000">
      <w:pPr>
        <w:pStyle w:val="ListBullet"/>
      </w:pPr>
      <w:r>
        <w:t>Apply frequency planning, power control and coordination between neighbouring cells to reduce co-channel and adjacent-channel interference.</w:t>
      </w:r>
    </w:p>
    <w:p w14:paraId="5C95D707" w14:textId="77777777" w:rsidR="005F4712" w:rsidRDefault="00000000">
      <w:pPr>
        <w:pStyle w:val="ListBullet"/>
      </w:pPr>
      <w:r>
        <w:t>Validate the result with drive tests or calibrated measurements, including receiver noise, bandwidth, antenna gains, and interference statistics.</w:t>
      </w:r>
    </w:p>
    <w:p w14:paraId="7B672160" w14:textId="77777777" w:rsidR="005F4712" w:rsidRDefault="00000000">
      <w:r>
        <w:t>A suitable first action is to audit antenna/sector configuration and optimize the radio plan, then verify whether the SINR target is met. Beamforming can improve the desired-to-interference relationship, but its effectiveness depends on array design, channel estimation, user distribution and propagation. Excessive power reduction may reduce interference but can also create coverage gaps.</w:t>
      </w:r>
    </w:p>
    <w:p w14:paraId="3E78470D" w14:textId="77777777" w:rsidR="005F4712" w:rsidRDefault="00000000">
      <w:pPr>
        <w:pStyle w:val="Heading2"/>
      </w:pPr>
      <w:r>
        <w:t>6.5 Wavelength and free-space path loss at 100 m</w:t>
      </w:r>
    </w:p>
    <w:p w14:paraId="274A9C36" w14:textId="77777777" w:rsidR="005F4712" w:rsidRDefault="00000000">
      <w:r>
        <w:t>Use λ = c/f and the supplied free-space path-loss equation FSPL(dB) = 20 log₁₀(4πd/λ), with d = 100 m and c = 3 × 10⁸ m/s.</w:t>
      </w:r>
    </w:p>
    <w:tbl>
      <w:tblPr>
        <w:tblStyle w:val="TableGrid"/>
        <w:tblW w:w="0" w:type="auto"/>
        <w:jc w:val="center"/>
        <w:tblLook w:val="04A0" w:firstRow="1" w:lastRow="0" w:firstColumn="1" w:lastColumn="0" w:noHBand="0" w:noVBand="1"/>
      </w:tblPr>
      <w:tblGrid>
        <w:gridCol w:w="1440"/>
        <w:gridCol w:w="3168"/>
        <w:gridCol w:w="2016"/>
        <w:gridCol w:w="2448"/>
      </w:tblGrid>
      <w:tr w:rsidR="005F4712" w14:paraId="0FA2A369" w14:textId="77777777">
        <w:trPr>
          <w:cantSplit/>
          <w:jc w:val="center"/>
        </w:trPr>
        <w:tc>
          <w:tcPr>
            <w:tcW w:w="1440" w:type="dxa"/>
            <w:shd w:val="clear" w:color="auto" w:fill="17365D"/>
            <w:vAlign w:val="center"/>
          </w:tcPr>
          <w:p w14:paraId="745778F7" w14:textId="77777777" w:rsidR="005F4712" w:rsidRDefault="00000000">
            <w:pPr>
              <w:spacing w:after="0"/>
            </w:pPr>
            <w:r>
              <w:rPr>
                <w:b/>
                <w:color w:val="FFFFFF"/>
                <w:sz w:val="18"/>
              </w:rPr>
              <w:t>Frequency</w:t>
            </w:r>
          </w:p>
        </w:tc>
        <w:tc>
          <w:tcPr>
            <w:tcW w:w="3168" w:type="dxa"/>
            <w:shd w:val="clear" w:color="auto" w:fill="17365D"/>
            <w:vAlign w:val="center"/>
          </w:tcPr>
          <w:p w14:paraId="5AC88228" w14:textId="77777777" w:rsidR="005F4712" w:rsidRDefault="00000000">
            <w:pPr>
              <w:spacing w:after="0"/>
            </w:pPr>
            <w:r>
              <w:rPr>
                <w:b/>
                <w:color w:val="FFFFFF"/>
                <w:sz w:val="18"/>
              </w:rPr>
              <w:t>Wavelength λ</w:t>
            </w:r>
          </w:p>
        </w:tc>
        <w:tc>
          <w:tcPr>
            <w:tcW w:w="2016" w:type="dxa"/>
            <w:shd w:val="clear" w:color="auto" w:fill="17365D"/>
            <w:vAlign w:val="center"/>
          </w:tcPr>
          <w:p w14:paraId="59361E0F" w14:textId="77777777" w:rsidR="005F4712" w:rsidRDefault="00000000">
            <w:pPr>
              <w:spacing w:after="0"/>
            </w:pPr>
            <w:r>
              <w:rPr>
                <w:b/>
                <w:color w:val="FFFFFF"/>
                <w:sz w:val="18"/>
              </w:rPr>
              <w:t>FSPL at 100 m</w:t>
            </w:r>
          </w:p>
        </w:tc>
        <w:tc>
          <w:tcPr>
            <w:tcW w:w="2448" w:type="dxa"/>
            <w:shd w:val="clear" w:color="auto" w:fill="17365D"/>
            <w:vAlign w:val="center"/>
          </w:tcPr>
          <w:p w14:paraId="0C2C0403" w14:textId="77777777" w:rsidR="005F4712" w:rsidRDefault="00000000">
            <w:pPr>
              <w:spacing w:after="0"/>
            </w:pPr>
            <w:r>
              <w:rPr>
                <w:b/>
                <w:color w:val="FFFFFF"/>
                <w:sz w:val="18"/>
              </w:rPr>
              <w:t>Difference from 900 MHz</w:t>
            </w:r>
          </w:p>
        </w:tc>
      </w:tr>
      <w:tr w:rsidR="005F4712" w14:paraId="6D5ECA17" w14:textId="77777777">
        <w:trPr>
          <w:cantSplit/>
          <w:jc w:val="center"/>
        </w:trPr>
        <w:tc>
          <w:tcPr>
            <w:tcW w:w="1440" w:type="dxa"/>
            <w:shd w:val="clear" w:color="auto" w:fill="F2F6FA"/>
            <w:vAlign w:val="center"/>
          </w:tcPr>
          <w:p w14:paraId="6D63AF16" w14:textId="77777777" w:rsidR="005F4712" w:rsidRDefault="00000000">
            <w:pPr>
              <w:spacing w:after="0"/>
            </w:pPr>
            <w:r>
              <w:rPr>
                <w:sz w:val="18"/>
              </w:rPr>
              <w:t>900 MHz</w:t>
            </w:r>
          </w:p>
        </w:tc>
        <w:tc>
          <w:tcPr>
            <w:tcW w:w="3168" w:type="dxa"/>
            <w:shd w:val="clear" w:color="auto" w:fill="F2F6FA"/>
            <w:vAlign w:val="center"/>
          </w:tcPr>
          <w:p w14:paraId="2440C4D2" w14:textId="77777777" w:rsidR="005F4712" w:rsidRDefault="00000000">
            <w:pPr>
              <w:spacing w:after="0"/>
            </w:pPr>
            <w:r>
              <w:rPr>
                <w:sz w:val="18"/>
              </w:rPr>
              <w:t>3 × 10⁸ / 900 × 10⁶ = 0.3333 m</w:t>
            </w:r>
          </w:p>
        </w:tc>
        <w:tc>
          <w:tcPr>
            <w:tcW w:w="2016" w:type="dxa"/>
            <w:shd w:val="clear" w:color="auto" w:fill="F2F6FA"/>
            <w:vAlign w:val="center"/>
          </w:tcPr>
          <w:p w14:paraId="63CB806F" w14:textId="77777777" w:rsidR="005F4712" w:rsidRDefault="00000000">
            <w:pPr>
              <w:spacing w:after="0"/>
            </w:pPr>
            <w:r>
              <w:rPr>
                <w:sz w:val="18"/>
              </w:rPr>
              <w:t>71.53 dB</w:t>
            </w:r>
          </w:p>
        </w:tc>
        <w:tc>
          <w:tcPr>
            <w:tcW w:w="2448" w:type="dxa"/>
            <w:shd w:val="clear" w:color="auto" w:fill="F2F6FA"/>
            <w:vAlign w:val="center"/>
          </w:tcPr>
          <w:p w14:paraId="110AFB7E" w14:textId="77777777" w:rsidR="005F4712" w:rsidRDefault="00000000">
            <w:pPr>
              <w:spacing w:after="0"/>
            </w:pPr>
            <w:r>
              <w:rPr>
                <w:sz w:val="18"/>
              </w:rPr>
              <w:t>0 dB (reference)</w:t>
            </w:r>
          </w:p>
        </w:tc>
      </w:tr>
      <w:tr w:rsidR="005F4712" w14:paraId="68E4C6B2" w14:textId="77777777">
        <w:trPr>
          <w:cantSplit/>
          <w:jc w:val="center"/>
        </w:trPr>
        <w:tc>
          <w:tcPr>
            <w:tcW w:w="1440" w:type="dxa"/>
            <w:vAlign w:val="center"/>
          </w:tcPr>
          <w:p w14:paraId="687BD2D5" w14:textId="77777777" w:rsidR="005F4712" w:rsidRDefault="00000000">
            <w:pPr>
              <w:spacing w:after="0"/>
            </w:pPr>
            <w:r>
              <w:rPr>
                <w:sz w:val="18"/>
              </w:rPr>
              <w:t>3.5 GHz</w:t>
            </w:r>
          </w:p>
        </w:tc>
        <w:tc>
          <w:tcPr>
            <w:tcW w:w="3168" w:type="dxa"/>
            <w:vAlign w:val="center"/>
          </w:tcPr>
          <w:p w14:paraId="71542698" w14:textId="77777777" w:rsidR="005F4712" w:rsidRDefault="00000000">
            <w:pPr>
              <w:spacing w:after="0"/>
            </w:pPr>
            <w:r>
              <w:rPr>
                <w:sz w:val="18"/>
              </w:rPr>
              <w:t>3 × 10⁸ / 3.5 × 10⁹ = 0.08571 m</w:t>
            </w:r>
          </w:p>
        </w:tc>
        <w:tc>
          <w:tcPr>
            <w:tcW w:w="2016" w:type="dxa"/>
            <w:vAlign w:val="center"/>
          </w:tcPr>
          <w:p w14:paraId="445980AA" w14:textId="77777777" w:rsidR="005F4712" w:rsidRDefault="00000000">
            <w:pPr>
              <w:spacing w:after="0"/>
            </w:pPr>
            <w:r>
              <w:rPr>
                <w:sz w:val="18"/>
              </w:rPr>
              <w:t>83.33 dB</w:t>
            </w:r>
          </w:p>
        </w:tc>
        <w:tc>
          <w:tcPr>
            <w:tcW w:w="2448" w:type="dxa"/>
            <w:vAlign w:val="center"/>
          </w:tcPr>
          <w:p w14:paraId="38A9E5E1" w14:textId="77777777" w:rsidR="005F4712" w:rsidRDefault="00000000">
            <w:pPr>
              <w:spacing w:after="0"/>
            </w:pPr>
            <w:r>
              <w:rPr>
                <w:sz w:val="18"/>
              </w:rPr>
              <w:t>+11.80 dB</w:t>
            </w:r>
          </w:p>
        </w:tc>
      </w:tr>
      <w:tr w:rsidR="005F4712" w14:paraId="5A9927E0" w14:textId="77777777">
        <w:trPr>
          <w:cantSplit/>
          <w:jc w:val="center"/>
        </w:trPr>
        <w:tc>
          <w:tcPr>
            <w:tcW w:w="1440" w:type="dxa"/>
            <w:shd w:val="clear" w:color="auto" w:fill="F2F6FA"/>
            <w:vAlign w:val="center"/>
          </w:tcPr>
          <w:p w14:paraId="2BA79253" w14:textId="77777777" w:rsidR="005F4712" w:rsidRDefault="00000000">
            <w:pPr>
              <w:spacing w:after="0"/>
            </w:pPr>
            <w:r>
              <w:rPr>
                <w:sz w:val="18"/>
              </w:rPr>
              <w:t>28 GHz</w:t>
            </w:r>
          </w:p>
        </w:tc>
        <w:tc>
          <w:tcPr>
            <w:tcW w:w="3168" w:type="dxa"/>
            <w:shd w:val="clear" w:color="auto" w:fill="F2F6FA"/>
            <w:vAlign w:val="center"/>
          </w:tcPr>
          <w:p w14:paraId="56A55710" w14:textId="77777777" w:rsidR="005F4712" w:rsidRDefault="00000000">
            <w:pPr>
              <w:spacing w:after="0"/>
            </w:pPr>
            <w:r>
              <w:rPr>
                <w:sz w:val="18"/>
              </w:rPr>
              <w:t>3 × 10⁸ / 28 × 10⁹ = 0.01071 m</w:t>
            </w:r>
          </w:p>
        </w:tc>
        <w:tc>
          <w:tcPr>
            <w:tcW w:w="2016" w:type="dxa"/>
            <w:shd w:val="clear" w:color="auto" w:fill="F2F6FA"/>
            <w:vAlign w:val="center"/>
          </w:tcPr>
          <w:p w14:paraId="2009E3A5" w14:textId="77777777" w:rsidR="005F4712" w:rsidRDefault="00000000">
            <w:pPr>
              <w:spacing w:after="0"/>
            </w:pPr>
            <w:r>
              <w:rPr>
                <w:sz w:val="18"/>
              </w:rPr>
              <w:t>101.39 dB</w:t>
            </w:r>
          </w:p>
        </w:tc>
        <w:tc>
          <w:tcPr>
            <w:tcW w:w="2448" w:type="dxa"/>
            <w:shd w:val="clear" w:color="auto" w:fill="F2F6FA"/>
            <w:vAlign w:val="center"/>
          </w:tcPr>
          <w:p w14:paraId="366EFAD2" w14:textId="77777777" w:rsidR="005F4712" w:rsidRDefault="00000000">
            <w:pPr>
              <w:spacing w:after="0"/>
            </w:pPr>
            <w:r>
              <w:rPr>
                <w:sz w:val="18"/>
              </w:rPr>
              <w:t>+29.86 dB</w:t>
            </w:r>
          </w:p>
        </w:tc>
      </w:tr>
    </w:tbl>
    <w:p w14:paraId="409B9132" w14:textId="77777777" w:rsidR="005F4712" w:rsidRDefault="005F4712"/>
    <w:p w14:paraId="2B1DF652" w14:textId="77777777" w:rsidR="005F4712" w:rsidRDefault="00000000">
      <w:r>
        <w:t>The values show that free-space path loss at the same distance increases with frequency under this formula. Relative to 900 MHz, the calculated FSPL is approximately 11.80 dB higher at 3.5 GHz and 29.86 dB higher at 28 GHz.</w:t>
      </w:r>
    </w:p>
    <w:p w14:paraId="377F6262" w14:textId="77777777" w:rsidR="005F4712" w:rsidRDefault="00000000">
      <w:pPr>
        <w:pStyle w:val="Heading2"/>
      </w:pPr>
      <w:r>
        <w:t>6.6 Deployment implications of the three bands</w:t>
      </w:r>
    </w:p>
    <w:tbl>
      <w:tblPr>
        <w:tblStyle w:val="TableGrid"/>
        <w:tblW w:w="0" w:type="auto"/>
        <w:jc w:val="center"/>
        <w:tblLook w:val="04A0" w:firstRow="1" w:lastRow="0" w:firstColumn="1" w:lastColumn="0" w:noHBand="0" w:noVBand="1"/>
      </w:tblPr>
      <w:tblGrid>
        <w:gridCol w:w="1440"/>
        <w:gridCol w:w="4896"/>
        <w:gridCol w:w="2736"/>
      </w:tblGrid>
      <w:tr w:rsidR="005F4712" w14:paraId="0D361945" w14:textId="77777777">
        <w:trPr>
          <w:cantSplit/>
          <w:jc w:val="center"/>
        </w:trPr>
        <w:tc>
          <w:tcPr>
            <w:tcW w:w="1440" w:type="dxa"/>
            <w:shd w:val="clear" w:color="auto" w:fill="17365D"/>
            <w:vAlign w:val="center"/>
          </w:tcPr>
          <w:p w14:paraId="2CEE2517" w14:textId="77777777" w:rsidR="005F4712" w:rsidRDefault="00000000">
            <w:pPr>
              <w:spacing w:after="0"/>
            </w:pPr>
            <w:r>
              <w:rPr>
                <w:b/>
                <w:color w:val="FFFFFF"/>
                <w:sz w:val="18"/>
              </w:rPr>
              <w:t>Band</w:t>
            </w:r>
          </w:p>
        </w:tc>
        <w:tc>
          <w:tcPr>
            <w:tcW w:w="4896" w:type="dxa"/>
            <w:shd w:val="clear" w:color="auto" w:fill="17365D"/>
            <w:vAlign w:val="center"/>
          </w:tcPr>
          <w:p w14:paraId="4711B4E1" w14:textId="77777777" w:rsidR="005F4712" w:rsidRDefault="00000000">
            <w:pPr>
              <w:spacing w:after="0"/>
            </w:pPr>
            <w:r>
              <w:rPr>
                <w:b/>
                <w:color w:val="FFFFFF"/>
                <w:sz w:val="18"/>
              </w:rPr>
              <w:t>Likely propagation and antenna implications</w:t>
            </w:r>
          </w:p>
        </w:tc>
        <w:tc>
          <w:tcPr>
            <w:tcW w:w="2736" w:type="dxa"/>
            <w:shd w:val="clear" w:color="auto" w:fill="17365D"/>
            <w:vAlign w:val="center"/>
          </w:tcPr>
          <w:p w14:paraId="0D54E732" w14:textId="77777777" w:rsidR="005F4712" w:rsidRDefault="00000000">
            <w:pPr>
              <w:spacing w:after="0"/>
            </w:pPr>
            <w:r>
              <w:rPr>
                <w:b/>
                <w:color w:val="FFFFFF"/>
                <w:sz w:val="18"/>
              </w:rPr>
              <w:t>Planning role</w:t>
            </w:r>
          </w:p>
        </w:tc>
      </w:tr>
      <w:tr w:rsidR="005F4712" w14:paraId="4B41D0FC" w14:textId="77777777">
        <w:trPr>
          <w:cantSplit/>
          <w:jc w:val="center"/>
        </w:trPr>
        <w:tc>
          <w:tcPr>
            <w:tcW w:w="1440" w:type="dxa"/>
            <w:shd w:val="clear" w:color="auto" w:fill="F2F6FA"/>
            <w:vAlign w:val="center"/>
          </w:tcPr>
          <w:p w14:paraId="6F743711" w14:textId="77777777" w:rsidR="005F4712" w:rsidRDefault="00000000">
            <w:pPr>
              <w:spacing w:after="0"/>
            </w:pPr>
            <w:r>
              <w:rPr>
                <w:sz w:val="18"/>
              </w:rPr>
              <w:t>900 MHz</w:t>
            </w:r>
          </w:p>
        </w:tc>
        <w:tc>
          <w:tcPr>
            <w:tcW w:w="4896" w:type="dxa"/>
            <w:shd w:val="clear" w:color="auto" w:fill="F2F6FA"/>
            <w:vAlign w:val="center"/>
          </w:tcPr>
          <w:p w14:paraId="5871808F" w14:textId="77777777" w:rsidR="005F4712" w:rsidRDefault="00000000">
            <w:pPr>
              <w:spacing w:after="0"/>
            </w:pPr>
            <w:r>
              <w:rPr>
                <w:sz w:val="18"/>
              </w:rPr>
              <w:t>Longer wavelength; often better diffraction and building penetration than higher bands, all else equal. Antennas may be physically larger for comparable electrical aperture.</w:t>
            </w:r>
          </w:p>
        </w:tc>
        <w:tc>
          <w:tcPr>
            <w:tcW w:w="2736" w:type="dxa"/>
            <w:shd w:val="clear" w:color="auto" w:fill="F2F6FA"/>
            <w:vAlign w:val="center"/>
          </w:tcPr>
          <w:p w14:paraId="155DD1AF" w14:textId="77777777" w:rsidR="005F4712" w:rsidRDefault="00000000">
            <w:pPr>
              <w:spacing w:after="0"/>
            </w:pPr>
            <w:r>
              <w:rPr>
                <w:sz w:val="18"/>
              </w:rPr>
              <w:t>Broad-area and regional coverage layer.</w:t>
            </w:r>
          </w:p>
        </w:tc>
      </w:tr>
      <w:tr w:rsidR="005F4712" w14:paraId="6DECC2A9" w14:textId="77777777">
        <w:trPr>
          <w:cantSplit/>
          <w:jc w:val="center"/>
        </w:trPr>
        <w:tc>
          <w:tcPr>
            <w:tcW w:w="1440" w:type="dxa"/>
            <w:vAlign w:val="center"/>
          </w:tcPr>
          <w:p w14:paraId="36FB260B" w14:textId="77777777" w:rsidR="005F4712" w:rsidRDefault="00000000">
            <w:pPr>
              <w:spacing w:after="0"/>
            </w:pPr>
            <w:r>
              <w:rPr>
                <w:sz w:val="18"/>
              </w:rPr>
              <w:lastRenderedPageBreak/>
              <w:t>3.5 GHz</w:t>
            </w:r>
          </w:p>
        </w:tc>
        <w:tc>
          <w:tcPr>
            <w:tcW w:w="4896" w:type="dxa"/>
            <w:vAlign w:val="center"/>
          </w:tcPr>
          <w:p w14:paraId="5BEF4D4F" w14:textId="77777777" w:rsidR="005F4712" w:rsidRDefault="00000000">
            <w:pPr>
              <w:spacing w:after="0"/>
            </w:pPr>
            <w:r>
              <w:rPr>
                <w:sz w:val="18"/>
              </w:rPr>
              <w:t>Intermediate wavelength and path loss; can offer a useful balance between coverage and available bandwidth. Indoor coverage remains building-dependent.</w:t>
            </w:r>
          </w:p>
        </w:tc>
        <w:tc>
          <w:tcPr>
            <w:tcW w:w="2736" w:type="dxa"/>
            <w:vAlign w:val="center"/>
          </w:tcPr>
          <w:p w14:paraId="0675BD53" w14:textId="77777777" w:rsidR="005F4712" w:rsidRDefault="00000000">
            <w:pPr>
              <w:spacing w:after="0"/>
            </w:pPr>
            <w:r>
              <w:rPr>
                <w:sz w:val="18"/>
              </w:rPr>
              <w:t>Main capacity layer in many 5G-style deployments, where licensed spectrum and demand justify it.</w:t>
            </w:r>
          </w:p>
        </w:tc>
      </w:tr>
      <w:tr w:rsidR="005F4712" w14:paraId="1E52AAF5" w14:textId="77777777">
        <w:trPr>
          <w:cantSplit/>
          <w:jc w:val="center"/>
        </w:trPr>
        <w:tc>
          <w:tcPr>
            <w:tcW w:w="1440" w:type="dxa"/>
            <w:shd w:val="clear" w:color="auto" w:fill="F2F6FA"/>
            <w:vAlign w:val="center"/>
          </w:tcPr>
          <w:p w14:paraId="2EF4BF5D" w14:textId="77777777" w:rsidR="005F4712" w:rsidRDefault="00000000">
            <w:pPr>
              <w:spacing w:after="0"/>
            </w:pPr>
            <w:r>
              <w:rPr>
                <w:sz w:val="18"/>
              </w:rPr>
              <w:t>28 GHz</w:t>
            </w:r>
          </w:p>
        </w:tc>
        <w:tc>
          <w:tcPr>
            <w:tcW w:w="4896" w:type="dxa"/>
            <w:shd w:val="clear" w:color="auto" w:fill="F2F6FA"/>
            <w:vAlign w:val="center"/>
          </w:tcPr>
          <w:p w14:paraId="7E5E10E6" w14:textId="77777777" w:rsidR="005F4712" w:rsidRDefault="00000000">
            <w:pPr>
              <w:spacing w:after="0"/>
            </w:pPr>
            <w:r>
              <w:rPr>
                <w:sz w:val="18"/>
              </w:rPr>
              <w:t>Short wavelength supports compact antenna arrays and directional beams, but blockage and penetration losses can be significant. Dense sites may be needed.</w:t>
            </w:r>
          </w:p>
        </w:tc>
        <w:tc>
          <w:tcPr>
            <w:tcW w:w="2736" w:type="dxa"/>
            <w:shd w:val="clear" w:color="auto" w:fill="F2F6FA"/>
            <w:vAlign w:val="center"/>
          </w:tcPr>
          <w:p w14:paraId="79BB37A5" w14:textId="77777777" w:rsidR="005F4712" w:rsidRDefault="00000000">
            <w:pPr>
              <w:spacing w:after="0"/>
            </w:pPr>
            <w:r>
              <w:rPr>
                <w:sz w:val="18"/>
              </w:rPr>
              <w:t>Selective high-capacity hotspots or line-of-sight-friendly locations.</w:t>
            </w:r>
          </w:p>
        </w:tc>
      </w:tr>
    </w:tbl>
    <w:p w14:paraId="64752FC6" w14:textId="77777777" w:rsidR="005F4712" w:rsidRDefault="005F4712"/>
    <w:p w14:paraId="7EB6B6A9" w14:textId="77777777" w:rsidR="005F4712" w:rsidRDefault="00000000">
      <w:r>
        <w:t>Higher free-space path loss alone does not determine achievable performance. Available bandwidth, transmit power limits, antenna gain, array size, beamforming, receiver sensitivity, propagation environment, blockage, site density and interference all affect link quality and capacity. A high-frequency system can deliver high throughput over a suitable short link, while a lower-frequency system may provide wider coverage.</w:t>
      </w:r>
    </w:p>
    <w:p w14:paraId="428A7BA3" w14:textId="77777777" w:rsidR="005F4712" w:rsidRDefault="00000000">
      <w:pPr>
        <w:pStyle w:val="Heading1"/>
      </w:pPr>
      <w:r>
        <w:t>7. Stage 6 – International Spectrum Coordination</w:t>
      </w:r>
    </w:p>
    <w:p w14:paraId="55B5FB00" w14:textId="77777777" w:rsidR="005F4712" w:rsidRDefault="00000000">
      <w:pPr>
        <w:pStyle w:val="Heading2"/>
      </w:pPr>
      <w:r>
        <w:t>7.1 Roles of ITU-R, WRC and the Radiocommunication Bureau</w:t>
      </w:r>
    </w:p>
    <w:tbl>
      <w:tblPr>
        <w:tblStyle w:val="TableGrid"/>
        <w:tblW w:w="0" w:type="auto"/>
        <w:jc w:val="center"/>
        <w:tblLook w:val="04A0" w:firstRow="1" w:lastRow="0" w:firstColumn="1" w:lastColumn="0" w:noHBand="0" w:noVBand="1"/>
      </w:tblPr>
      <w:tblGrid>
        <w:gridCol w:w="2592"/>
        <w:gridCol w:w="6480"/>
      </w:tblGrid>
      <w:tr w:rsidR="005F4712" w14:paraId="7A2CA741" w14:textId="77777777">
        <w:trPr>
          <w:cantSplit/>
          <w:jc w:val="center"/>
        </w:trPr>
        <w:tc>
          <w:tcPr>
            <w:tcW w:w="2592" w:type="dxa"/>
            <w:shd w:val="clear" w:color="auto" w:fill="17365D"/>
            <w:vAlign w:val="center"/>
          </w:tcPr>
          <w:p w14:paraId="416B0039" w14:textId="77777777" w:rsidR="005F4712" w:rsidRDefault="00000000">
            <w:pPr>
              <w:spacing w:after="0"/>
            </w:pPr>
            <w:r>
              <w:rPr>
                <w:b/>
                <w:color w:val="FFFFFF"/>
                <w:sz w:val="18"/>
              </w:rPr>
              <w:t>Body</w:t>
            </w:r>
          </w:p>
        </w:tc>
        <w:tc>
          <w:tcPr>
            <w:tcW w:w="6480" w:type="dxa"/>
            <w:shd w:val="clear" w:color="auto" w:fill="17365D"/>
            <w:vAlign w:val="center"/>
          </w:tcPr>
          <w:p w14:paraId="40F460A6" w14:textId="77777777" w:rsidR="005F4712" w:rsidRDefault="00000000">
            <w:pPr>
              <w:spacing w:after="0"/>
            </w:pPr>
            <w:r>
              <w:rPr>
                <w:b/>
                <w:color w:val="FFFFFF"/>
                <w:sz w:val="18"/>
              </w:rPr>
              <w:t>Role in coordination</w:t>
            </w:r>
          </w:p>
        </w:tc>
      </w:tr>
      <w:tr w:rsidR="005F4712" w14:paraId="1B25D9AE" w14:textId="77777777">
        <w:trPr>
          <w:cantSplit/>
          <w:jc w:val="center"/>
        </w:trPr>
        <w:tc>
          <w:tcPr>
            <w:tcW w:w="2592" w:type="dxa"/>
            <w:shd w:val="clear" w:color="auto" w:fill="F2F6FA"/>
            <w:vAlign w:val="center"/>
          </w:tcPr>
          <w:p w14:paraId="1E19587C" w14:textId="77777777" w:rsidR="005F4712" w:rsidRDefault="00000000">
            <w:pPr>
              <w:spacing w:after="0"/>
            </w:pPr>
            <w:r>
              <w:rPr>
                <w:sz w:val="18"/>
              </w:rPr>
              <w:t>ITU-R</w:t>
            </w:r>
          </w:p>
        </w:tc>
        <w:tc>
          <w:tcPr>
            <w:tcW w:w="6480" w:type="dxa"/>
            <w:shd w:val="clear" w:color="auto" w:fill="F2F6FA"/>
            <w:vAlign w:val="center"/>
          </w:tcPr>
          <w:p w14:paraId="4D6447DD" w14:textId="77777777" w:rsidR="005F4712" w:rsidRDefault="00000000">
            <w:pPr>
              <w:spacing w:after="0"/>
            </w:pPr>
            <w:r>
              <w:rPr>
                <w:sz w:val="18"/>
              </w:rPr>
              <w:t>The ITU Radiocommunication Sector develops technical recommendations and studies and supports international coordination of radio services and spectrum use.</w:t>
            </w:r>
          </w:p>
        </w:tc>
      </w:tr>
      <w:tr w:rsidR="005F4712" w14:paraId="12755843" w14:textId="77777777">
        <w:trPr>
          <w:cantSplit/>
          <w:jc w:val="center"/>
        </w:trPr>
        <w:tc>
          <w:tcPr>
            <w:tcW w:w="2592" w:type="dxa"/>
            <w:vAlign w:val="center"/>
          </w:tcPr>
          <w:p w14:paraId="161CAD5F" w14:textId="77777777" w:rsidR="005F4712" w:rsidRDefault="00000000">
            <w:pPr>
              <w:spacing w:after="0"/>
            </w:pPr>
            <w:r>
              <w:rPr>
                <w:sz w:val="18"/>
              </w:rPr>
              <w:t>World Radiocommunication Conference (WRC)</w:t>
            </w:r>
          </w:p>
        </w:tc>
        <w:tc>
          <w:tcPr>
            <w:tcW w:w="6480" w:type="dxa"/>
            <w:vAlign w:val="center"/>
          </w:tcPr>
          <w:p w14:paraId="6533E216" w14:textId="77777777" w:rsidR="005F4712" w:rsidRDefault="00000000">
            <w:pPr>
              <w:spacing w:after="0"/>
            </w:pPr>
            <w:r>
              <w:rPr>
                <w:sz w:val="18"/>
              </w:rPr>
              <w:t>A conference that reviews and, where agreed, revises the international Radio Regulations, including frequency allocations and regulatory conditions for radio services.</w:t>
            </w:r>
          </w:p>
        </w:tc>
      </w:tr>
      <w:tr w:rsidR="005F4712" w14:paraId="181304DD" w14:textId="77777777">
        <w:trPr>
          <w:cantSplit/>
          <w:jc w:val="center"/>
        </w:trPr>
        <w:tc>
          <w:tcPr>
            <w:tcW w:w="2592" w:type="dxa"/>
            <w:shd w:val="clear" w:color="auto" w:fill="F2F6FA"/>
            <w:vAlign w:val="center"/>
          </w:tcPr>
          <w:p w14:paraId="3AC7B5E4" w14:textId="77777777" w:rsidR="005F4712" w:rsidRDefault="00000000">
            <w:pPr>
              <w:spacing w:after="0"/>
            </w:pPr>
            <w:r>
              <w:rPr>
                <w:sz w:val="18"/>
              </w:rPr>
              <w:t>Radiocommunication Bureau (BR)</w:t>
            </w:r>
          </w:p>
        </w:tc>
        <w:tc>
          <w:tcPr>
            <w:tcW w:w="6480" w:type="dxa"/>
            <w:shd w:val="clear" w:color="auto" w:fill="F2F6FA"/>
            <w:vAlign w:val="center"/>
          </w:tcPr>
          <w:p w14:paraId="1A99C479" w14:textId="77777777" w:rsidR="005F4712" w:rsidRDefault="00000000">
            <w:pPr>
              <w:spacing w:after="0"/>
            </w:pPr>
            <w:r>
              <w:rPr>
                <w:sz w:val="18"/>
              </w:rPr>
              <w:t>The bureau supports radiocommunication conference and sector processes and carries out relevant administrative and technical functions, including processing/coordination tasks under the Radio Regulations.</w:t>
            </w:r>
          </w:p>
        </w:tc>
      </w:tr>
    </w:tbl>
    <w:p w14:paraId="2CAE60E3" w14:textId="77777777" w:rsidR="005F4712" w:rsidRDefault="005F4712"/>
    <w:p w14:paraId="38C7ACB2" w14:textId="77777777" w:rsidR="005F4712" w:rsidRDefault="00000000">
      <w:pPr>
        <w:pStyle w:val="Heading2"/>
      </w:pPr>
      <w:r>
        <w:t>7.2 Effect on national regulators and operators</w:t>
      </w:r>
    </w:p>
    <w:p w14:paraId="5F390666" w14:textId="77777777" w:rsidR="005F4712" w:rsidRDefault="00000000">
      <w:r>
        <w:t>International agreements help countries coordinate spectrum use and reduce harmful cross-border interference, especially for services whose signals or satellites cross national boundaries. National regulators then implement national allocations, licensing and technical conditions within the applicable international framework. Operators must plan around the spectrum actually licensed to them, permitted power levels, band plans and coordination requirements. International allocation does not by itself guarantee that a particular band is available to an operator in a particular country.</w:t>
      </w:r>
    </w:p>
    <w:p w14:paraId="29B759D0" w14:textId="77777777" w:rsidR="005F4712" w:rsidRDefault="00000000">
      <w:r>
        <w:t>Before deployment, the operator should confirm the current national spectrum allocation and licensing status for each proposed band. The report's frequency comparison is a propagation calculation, not a claim that spectrum is automatically available.</w:t>
      </w:r>
    </w:p>
    <w:p w14:paraId="79FD4378" w14:textId="77777777" w:rsidR="005F4712" w:rsidRDefault="00000000">
      <w:pPr>
        <w:pStyle w:val="Heading1"/>
      </w:pPr>
      <w:r>
        <w:t>8. Integrated Deployment Recommendation</w:t>
      </w:r>
    </w:p>
    <w:p w14:paraId="04125AAB" w14:textId="77777777" w:rsidR="005F4712" w:rsidRDefault="00000000">
      <w:pPr>
        <w:pStyle w:val="Heading2"/>
      </w:pPr>
      <w:r>
        <w:t>8.1 Recommended phased plan</w:t>
      </w:r>
    </w:p>
    <w:tbl>
      <w:tblPr>
        <w:tblStyle w:val="TableGrid"/>
        <w:tblW w:w="0" w:type="auto"/>
        <w:jc w:val="center"/>
        <w:tblLook w:val="04A0" w:firstRow="1" w:lastRow="0" w:firstColumn="1" w:lastColumn="0" w:noHBand="0" w:noVBand="1"/>
      </w:tblPr>
      <w:tblGrid>
        <w:gridCol w:w="1728"/>
        <w:gridCol w:w="3888"/>
        <w:gridCol w:w="3456"/>
      </w:tblGrid>
      <w:tr w:rsidR="005F4712" w14:paraId="6A1250FD" w14:textId="77777777">
        <w:trPr>
          <w:cantSplit/>
          <w:jc w:val="center"/>
        </w:trPr>
        <w:tc>
          <w:tcPr>
            <w:tcW w:w="1728" w:type="dxa"/>
            <w:shd w:val="clear" w:color="auto" w:fill="17365D"/>
            <w:vAlign w:val="center"/>
          </w:tcPr>
          <w:p w14:paraId="4F2D0034" w14:textId="77777777" w:rsidR="005F4712" w:rsidRDefault="00000000">
            <w:pPr>
              <w:spacing w:after="0"/>
            </w:pPr>
            <w:r>
              <w:rPr>
                <w:b/>
                <w:color w:val="FFFFFF"/>
                <w:sz w:val="18"/>
              </w:rPr>
              <w:t>Phase</w:t>
            </w:r>
          </w:p>
        </w:tc>
        <w:tc>
          <w:tcPr>
            <w:tcW w:w="3888" w:type="dxa"/>
            <w:shd w:val="clear" w:color="auto" w:fill="17365D"/>
            <w:vAlign w:val="center"/>
          </w:tcPr>
          <w:p w14:paraId="0C6D9992" w14:textId="77777777" w:rsidR="005F4712" w:rsidRDefault="00000000">
            <w:pPr>
              <w:spacing w:after="0"/>
            </w:pPr>
            <w:r>
              <w:rPr>
                <w:b/>
                <w:color w:val="FFFFFF"/>
                <w:sz w:val="18"/>
              </w:rPr>
              <w:t>Action</w:t>
            </w:r>
          </w:p>
        </w:tc>
        <w:tc>
          <w:tcPr>
            <w:tcW w:w="3456" w:type="dxa"/>
            <w:shd w:val="clear" w:color="auto" w:fill="17365D"/>
            <w:vAlign w:val="center"/>
          </w:tcPr>
          <w:p w14:paraId="63A91EE0" w14:textId="77777777" w:rsidR="005F4712" w:rsidRDefault="00000000">
            <w:pPr>
              <w:spacing w:after="0"/>
            </w:pPr>
            <w:r>
              <w:rPr>
                <w:b/>
                <w:color w:val="FFFFFF"/>
                <w:sz w:val="18"/>
              </w:rPr>
              <w:t>Reason and validation</w:t>
            </w:r>
          </w:p>
        </w:tc>
      </w:tr>
      <w:tr w:rsidR="005F4712" w14:paraId="6E73377E" w14:textId="77777777">
        <w:trPr>
          <w:cantSplit/>
          <w:jc w:val="center"/>
        </w:trPr>
        <w:tc>
          <w:tcPr>
            <w:tcW w:w="1728" w:type="dxa"/>
            <w:shd w:val="clear" w:color="auto" w:fill="F2F6FA"/>
            <w:vAlign w:val="center"/>
          </w:tcPr>
          <w:p w14:paraId="5BB9DD0A" w14:textId="77777777" w:rsidR="005F4712" w:rsidRDefault="00000000">
            <w:pPr>
              <w:spacing w:after="0"/>
            </w:pPr>
            <w:r>
              <w:rPr>
                <w:sz w:val="18"/>
              </w:rPr>
              <w:t>1. Validate baseline</w:t>
            </w:r>
          </w:p>
        </w:tc>
        <w:tc>
          <w:tcPr>
            <w:tcW w:w="3888" w:type="dxa"/>
            <w:shd w:val="clear" w:color="auto" w:fill="F2F6FA"/>
            <w:vAlign w:val="center"/>
          </w:tcPr>
          <w:p w14:paraId="0461AE64" w14:textId="77777777" w:rsidR="005F4712" w:rsidRDefault="00000000">
            <w:pPr>
              <w:spacing w:after="0"/>
            </w:pPr>
            <w:r>
              <w:rPr>
                <w:sz w:val="18"/>
              </w:rPr>
              <w:t>Measure busy-hour traffic, existing coverage, signal quality, interference, handoff performance and site/backhaul capacity.</w:t>
            </w:r>
          </w:p>
        </w:tc>
        <w:tc>
          <w:tcPr>
            <w:tcW w:w="3456" w:type="dxa"/>
            <w:shd w:val="clear" w:color="auto" w:fill="F2F6FA"/>
            <w:vAlign w:val="center"/>
          </w:tcPr>
          <w:p w14:paraId="326BD911" w14:textId="77777777" w:rsidR="005F4712" w:rsidRDefault="00000000">
            <w:pPr>
              <w:spacing w:after="0"/>
            </w:pPr>
            <w:r>
              <w:rPr>
                <w:sz w:val="18"/>
              </w:rPr>
              <w:t>Confirms whether the supplied assumptions reflect the real region and identifies priority areas.</w:t>
            </w:r>
          </w:p>
        </w:tc>
      </w:tr>
      <w:tr w:rsidR="005F4712" w14:paraId="2264F8AA" w14:textId="77777777">
        <w:trPr>
          <w:cantSplit/>
          <w:jc w:val="center"/>
        </w:trPr>
        <w:tc>
          <w:tcPr>
            <w:tcW w:w="1728" w:type="dxa"/>
            <w:vAlign w:val="center"/>
          </w:tcPr>
          <w:p w14:paraId="5524C034" w14:textId="77777777" w:rsidR="005F4712" w:rsidRDefault="00000000">
            <w:pPr>
              <w:spacing w:after="0"/>
            </w:pPr>
            <w:r>
              <w:rPr>
                <w:sz w:val="18"/>
              </w:rPr>
              <w:t>2. Secure broad coverage</w:t>
            </w:r>
          </w:p>
        </w:tc>
        <w:tc>
          <w:tcPr>
            <w:tcW w:w="3888" w:type="dxa"/>
            <w:vAlign w:val="center"/>
          </w:tcPr>
          <w:p w14:paraId="7DEE663A" w14:textId="77777777" w:rsidR="005F4712" w:rsidRDefault="00000000">
            <w:pPr>
              <w:spacing w:after="0"/>
            </w:pPr>
            <w:r>
              <w:rPr>
                <w:sz w:val="18"/>
              </w:rPr>
              <w:t>Use suitable low-band spectrum such as 900 MHz where licensed and technically appropriate; optimize existing macro sites.</w:t>
            </w:r>
          </w:p>
        </w:tc>
        <w:tc>
          <w:tcPr>
            <w:tcW w:w="3456" w:type="dxa"/>
            <w:vAlign w:val="center"/>
          </w:tcPr>
          <w:p w14:paraId="3DD4A905" w14:textId="77777777" w:rsidR="005F4712" w:rsidRDefault="00000000">
            <w:pPr>
              <w:spacing w:after="0"/>
            </w:pPr>
            <w:r>
              <w:rPr>
                <w:sz w:val="18"/>
              </w:rPr>
              <w:t>Longer-wavelength propagation can support broad coverage. Validate indoor and edge-of-cell performance.</w:t>
            </w:r>
          </w:p>
        </w:tc>
      </w:tr>
      <w:tr w:rsidR="005F4712" w14:paraId="2DFA8056" w14:textId="77777777">
        <w:trPr>
          <w:cantSplit/>
          <w:jc w:val="center"/>
        </w:trPr>
        <w:tc>
          <w:tcPr>
            <w:tcW w:w="1728" w:type="dxa"/>
            <w:shd w:val="clear" w:color="auto" w:fill="F2F6FA"/>
            <w:vAlign w:val="center"/>
          </w:tcPr>
          <w:p w14:paraId="16A44F0D" w14:textId="77777777" w:rsidR="005F4712" w:rsidRDefault="00000000">
            <w:pPr>
              <w:spacing w:after="0"/>
            </w:pPr>
            <w:r>
              <w:rPr>
                <w:sz w:val="18"/>
              </w:rPr>
              <w:t>3. Add targeted capacity</w:t>
            </w:r>
          </w:p>
        </w:tc>
        <w:tc>
          <w:tcPr>
            <w:tcW w:w="3888" w:type="dxa"/>
            <w:shd w:val="clear" w:color="auto" w:fill="F2F6FA"/>
            <w:vAlign w:val="center"/>
          </w:tcPr>
          <w:p w14:paraId="38796F87" w14:textId="77777777" w:rsidR="005F4712" w:rsidRDefault="00000000">
            <w:pPr>
              <w:spacing w:after="0"/>
            </w:pPr>
            <w:r>
              <w:rPr>
                <w:sz w:val="18"/>
              </w:rPr>
              <w:t>Deploy 3.5 GHz capacity where spectrum is available and traffic demand justifies it; consider microcells/picocells in hotspots.</w:t>
            </w:r>
          </w:p>
        </w:tc>
        <w:tc>
          <w:tcPr>
            <w:tcW w:w="3456" w:type="dxa"/>
            <w:shd w:val="clear" w:color="auto" w:fill="F2F6FA"/>
            <w:vAlign w:val="center"/>
          </w:tcPr>
          <w:p w14:paraId="25B864A9" w14:textId="77777777" w:rsidR="005F4712" w:rsidRDefault="00000000">
            <w:pPr>
              <w:spacing w:after="0"/>
            </w:pPr>
            <w:r>
              <w:rPr>
                <w:sz w:val="18"/>
              </w:rPr>
              <w:t>Adds capacity without densifying every location. Check traffic distribution, interference and backhaul.</w:t>
            </w:r>
          </w:p>
        </w:tc>
      </w:tr>
      <w:tr w:rsidR="005F4712" w14:paraId="09CFBC21" w14:textId="77777777">
        <w:trPr>
          <w:cantSplit/>
          <w:jc w:val="center"/>
        </w:trPr>
        <w:tc>
          <w:tcPr>
            <w:tcW w:w="1728" w:type="dxa"/>
            <w:vAlign w:val="center"/>
          </w:tcPr>
          <w:p w14:paraId="7E1A2E04" w14:textId="77777777" w:rsidR="005F4712" w:rsidRDefault="00000000">
            <w:pPr>
              <w:spacing w:after="0"/>
            </w:pPr>
            <w:r>
              <w:rPr>
                <w:sz w:val="18"/>
              </w:rPr>
              <w:lastRenderedPageBreak/>
              <w:t>4. Correct SINR shortfall</w:t>
            </w:r>
          </w:p>
        </w:tc>
        <w:tc>
          <w:tcPr>
            <w:tcW w:w="3888" w:type="dxa"/>
            <w:vAlign w:val="center"/>
          </w:tcPr>
          <w:p w14:paraId="4D645A4B" w14:textId="77777777" w:rsidR="005F4712" w:rsidRDefault="00000000">
            <w:pPr>
              <w:spacing w:after="0"/>
            </w:pPr>
            <w:r>
              <w:rPr>
                <w:sz w:val="18"/>
              </w:rPr>
              <w:t>Audit antenna tilt/azimuth, sector configuration, power, neighbour relations and frequency coordination; assess beamforming where supported.</w:t>
            </w:r>
          </w:p>
        </w:tc>
        <w:tc>
          <w:tcPr>
            <w:tcW w:w="3456" w:type="dxa"/>
            <w:vAlign w:val="center"/>
          </w:tcPr>
          <w:p w14:paraId="1DE8DF6B" w14:textId="77777777" w:rsidR="005F4712" w:rsidRDefault="00000000">
            <w:pPr>
              <w:spacing w:after="0"/>
            </w:pPr>
            <w:r>
              <w:rPr>
                <w:sz w:val="18"/>
              </w:rPr>
              <w:t>The calculated interference-limited SINR is 13.81 dB, below the 15 dB target. Verify the improvement with measurements.</w:t>
            </w:r>
          </w:p>
        </w:tc>
      </w:tr>
      <w:tr w:rsidR="005F4712" w14:paraId="0B8833F5" w14:textId="77777777">
        <w:trPr>
          <w:cantSplit/>
          <w:jc w:val="center"/>
        </w:trPr>
        <w:tc>
          <w:tcPr>
            <w:tcW w:w="1728" w:type="dxa"/>
            <w:shd w:val="clear" w:color="auto" w:fill="F2F6FA"/>
            <w:vAlign w:val="center"/>
          </w:tcPr>
          <w:p w14:paraId="0170F092" w14:textId="77777777" w:rsidR="005F4712" w:rsidRDefault="00000000">
            <w:pPr>
              <w:spacing w:after="0"/>
            </w:pPr>
            <w:r>
              <w:rPr>
                <w:sz w:val="18"/>
              </w:rPr>
              <w:t>5. Improve mobility</w:t>
            </w:r>
          </w:p>
        </w:tc>
        <w:tc>
          <w:tcPr>
            <w:tcW w:w="3888" w:type="dxa"/>
            <w:shd w:val="clear" w:color="auto" w:fill="F2F6FA"/>
            <w:vAlign w:val="center"/>
          </w:tcPr>
          <w:p w14:paraId="64C9B574" w14:textId="77777777" w:rsidR="005F4712" w:rsidRDefault="00000000">
            <w:pPr>
              <w:spacing w:after="0"/>
            </w:pPr>
            <w:r>
              <w:rPr>
                <w:sz w:val="18"/>
              </w:rPr>
              <w:t>Tune handoff thresholds, timing, neighbour lists and target-cell admission; monitor interruption and drop statistics.</w:t>
            </w:r>
          </w:p>
        </w:tc>
        <w:tc>
          <w:tcPr>
            <w:tcW w:w="3456" w:type="dxa"/>
            <w:shd w:val="clear" w:color="auto" w:fill="F2F6FA"/>
            <w:vAlign w:val="center"/>
          </w:tcPr>
          <w:p w14:paraId="2943079F" w14:textId="77777777" w:rsidR="005F4712" w:rsidRDefault="00000000">
            <w:pPr>
              <w:spacing w:after="0"/>
            </w:pPr>
            <w:r>
              <w:rPr>
                <w:sz w:val="18"/>
              </w:rPr>
              <w:t>The simplified estimate is one handoff per minute and 1% per-handoff risk under strong assumptions; actual data is needed.</w:t>
            </w:r>
          </w:p>
        </w:tc>
      </w:tr>
      <w:tr w:rsidR="005F4712" w14:paraId="0E9C68A1" w14:textId="77777777">
        <w:trPr>
          <w:cantSplit/>
          <w:jc w:val="center"/>
        </w:trPr>
        <w:tc>
          <w:tcPr>
            <w:tcW w:w="1728" w:type="dxa"/>
            <w:vAlign w:val="center"/>
          </w:tcPr>
          <w:p w14:paraId="033E05A4" w14:textId="77777777" w:rsidR="005F4712" w:rsidRDefault="00000000">
            <w:pPr>
              <w:spacing w:after="0"/>
            </w:pPr>
            <w:r>
              <w:rPr>
                <w:sz w:val="18"/>
              </w:rPr>
              <w:t>6. Deploy mmWave selectively</w:t>
            </w:r>
          </w:p>
        </w:tc>
        <w:tc>
          <w:tcPr>
            <w:tcW w:w="3888" w:type="dxa"/>
            <w:vAlign w:val="center"/>
          </w:tcPr>
          <w:p w14:paraId="7D6B0A90" w14:textId="77777777" w:rsidR="005F4712" w:rsidRDefault="00000000">
            <w:pPr>
              <w:spacing w:after="0"/>
            </w:pPr>
            <w:r>
              <w:rPr>
                <w:sz w:val="18"/>
              </w:rPr>
              <w:t>Use 28 GHz for high-demand, short-range hotspots where blockage, site placement and backhaul are manageable.</w:t>
            </w:r>
          </w:p>
        </w:tc>
        <w:tc>
          <w:tcPr>
            <w:tcW w:w="3456" w:type="dxa"/>
            <w:vAlign w:val="center"/>
          </w:tcPr>
          <w:p w14:paraId="0E813A0B" w14:textId="77777777" w:rsidR="005F4712" w:rsidRDefault="00000000">
            <w:pPr>
              <w:spacing w:after="0"/>
            </w:pPr>
            <w:r>
              <w:rPr>
                <w:sz w:val="18"/>
              </w:rPr>
              <w:t>The calculated FSPL is 29.86 dB above 900 MHz at 100 m, so the link budget and dense-site plan require careful validation.</w:t>
            </w:r>
          </w:p>
        </w:tc>
      </w:tr>
      <w:tr w:rsidR="005F4712" w14:paraId="0505C39D" w14:textId="77777777">
        <w:trPr>
          <w:cantSplit/>
          <w:jc w:val="center"/>
        </w:trPr>
        <w:tc>
          <w:tcPr>
            <w:tcW w:w="1728" w:type="dxa"/>
            <w:shd w:val="clear" w:color="auto" w:fill="F2F6FA"/>
            <w:vAlign w:val="center"/>
          </w:tcPr>
          <w:p w14:paraId="2166978C" w14:textId="77777777" w:rsidR="005F4712" w:rsidRDefault="00000000">
            <w:pPr>
              <w:spacing w:after="0"/>
            </w:pPr>
            <w:r>
              <w:rPr>
                <w:sz w:val="18"/>
              </w:rPr>
              <w:t>7. Prepare for future evolution</w:t>
            </w:r>
          </w:p>
        </w:tc>
        <w:tc>
          <w:tcPr>
            <w:tcW w:w="3888" w:type="dxa"/>
            <w:shd w:val="clear" w:color="auto" w:fill="F2F6FA"/>
            <w:vAlign w:val="center"/>
          </w:tcPr>
          <w:p w14:paraId="77D08C08" w14:textId="77777777" w:rsidR="005F4712" w:rsidRDefault="00000000">
            <w:pPr>
              <w:spacing w:after="0"/>
            </w:pPr>
            <w:r>
              <w:rPr>
                <w:sz w:val="18"/>
              </w:rPr>
              <w:t>Monitor standards, spectrum decisions and 6G research rather than treating the 6G vision as an immediate production requirement.</w:t>
            </w:r>
          </w:p>
        </w:tc>
        <w:tc>
          <w:tcPr>
            <w:tcW w:w="3456" w:type="dxa"/>
            <w:shd w:val="clear" w:color="auto" w:fill="F2F6FA"/>
            <w:vAlign w:val="center"/>
          </w:tcPr>
          <w:p w14:paraId="1698F543" w14:textId="77777777" w:rsidR="005F4712" w:rsidRDefault="00000000">
            <w:pPr>
              <w:spacing w:after="0"/>
            </w:pPr>
            <w:r>
              <w:rPr>
                <w:sz w:val="18"/>
              </w:rPr>
              <w:t>Maintains flexibility while avoiding unsupported assumptions about immature capabilities.</w:t>
            </w:r>
          </w:p>
        </w:tc>
      </w:tr>
    </w:tbl>
    <w:p w14:paraId="492E2152" w14:textId="77777777" w:rsidR="005F4712" w:rsidRDefault="005F4712"/>
    <w:p w14:paraId="09C124FA" w14:textId="77777777" w:rsidR="005F4712" w:rsidRDefault="00000000">
      <w:pPr>
        <w:pStyle w:val="Heading2"/>
      </w:pPr>
      <w:r>
        <w:t>8.2 How the recommendation follows from the calculations</w:t>
      </w:r>
    </w:p>
    <w:p w14:paraId="51B44AA9" w14:textId="77777777" w:rsidR="005F4712" w:rsidRDefault="00000000">
      <w:pPr>
        <w:pStyle w:val="ListBullet"/>
      </w:pPr>
      <w:r>
        <w:t>Cell planning: the idealized cell area is 10.392 km² and the reuse distance is 9.17 km for N = 7; actual coverage boundaries must be verified.</w:t>
      </w:r>
    </w:p>
    <w:p w14:paraId="0CA105F2" w14:textId="77777777" w:rsidR="005F4712" w:rsidRDefault="00000000">
      <w:pPr>
        <w:pStyle w:val="ListBullet"/>
      </w:pPr>
      <w:r>
        <w:t>Traffic: 80 Erlangs are offered. The initial 100 channels produce an estimated 0.399% blocking probability, below 2%; 92 channels are the modelled minimum.</w:t>
      </w:r>
    </w:p>
    <w:p w14:paraId="186DD282" w14:textId="77777777" w:rsidR="005F4712" w:rsidRDefault="00000000">
      <w:pPr>
        <w:pStyle w:val="ListBullet"/>
      </w:pPr>
      <w:r>
        <w:t>Mobility: the mobile travels 100 m during the overlap interval. The simplified route model implies roughly one handoff per minute, supporting the need for handoff monitoring if sites are densified.</w:t>
      </w:r>
    </w:p>
    <w:p w14:paraId="4831848A" w14:textId="77777777" w:rsidR="005F4712" w:rsidRDefault="00000000">
      <w:pPr>
        <w:pStyle w:val="ListBullet"/>
      </w:pPr>
      <w:r>
        <w:t>Interference: the interference-limited SINR estimate of 13.81 dB misses the target, so radio optimization and interference mitigation should precede or accompany expansion.</w:t>
      </w:r>
    </w:p>
    <w:p w14:paraId="2EB68EA1" w14:textId="77777777" w:rsidR="005F4712" w:rsidRDefault="00000000">
      <w:pPr>
        <w:pStyle w:val="ListBullet"/>
      </w:pPr>
      <w:r>
        <w:t>Spectrum: 900 MHz is suited to broad coverage, 3.5 GHz can add capacity, and 28 GHz is best considered selectively for high-capacity short-range use, subject to actual spectrum availability and link-budget validation.</w:t>
      </w:r>
    </w:p>
    <w:p w14:paraId="2C8A90EE" w14:textId="77777777" w:rsidR="005F4712" w:rsidRDefault="00000000">
      <w:r>
        <w:t>The recommended design is deliberately staged rather than a single universal choice. It combines a coverage layer with targeted capacity and measurable radio optimization. Each phase should proceed only after field results and licensing checks support it.</w:t>
      </w:r>
    </w:p>
    <w:p w14:paraId="5AE6B727" w14:textId="77777777" w:rsidR="005F4712" w:rsidRDefault="00000000">
      <w:pPr>
        <w:pStyle w:val="Heading1"/>
      </w:pPr>
      <w:r>
        <w:t>9. Assumptions, Limitations and Further Validation</w:t>
      </w:r>
    </w:p>
    <w:tbl>
      <w:tblPr>
        <w:tblStyle w:val="TableGrid"/>
        <w:tblW w:w="0" w:type="auto"/>
        <w:jc w:val="center"/>
        <w:tblLook w:val="04A0" w:firstRow="1" w:lastRow="0" w:firstColumn="1" w:lastColumn="0" w:noHBand="0" w:noVBand="1"/>
      </w:tblPr>
      <w:tblGrid>
        <w:gridCol w:w="1728"/>
        <w:gridCol w:w="3888"/>
        <w:gridCol w:w="3456"/>
      </w:tblGrid>
      <w:tr w:rsidR="005F4712" w14:paraId="0BEB5A1A" w14:textId="77777777">
        <w:trPr>
          <w:cantSplit/>
          <w:jc w:val="center"/>
        </w:trPr>
        <w:tc>
          <w:tcPr>
            <w:tcW w:w="1728" w:type="dxa"/>
            <w:shd w:val="clear" w:color="auto" w:fill="17365D"/>
            <w:vAlign w:val="center"/>
          </w:tcPr>
          <w:p w14:paraId="600D31F3" w14:textId="77777777" w:rsidR="005F4712" w:rsidRDefault="00000000">
            <w:pPr>
              <w:spacing w:after="0"/>
            </w:pPr>
            <w:r>
              <w:rPr>
                <w:b/>
                <w:color w:val="FFFFFF"/>
                <w:sz w:val="18"/>
              </w:rPr>
              <w:t>Area</w:t>
            </w:r>
          </w:p>
        </w:tc>
        <w:tc>
          <w:tcPr>
            <w:tcW w:w="3888" w:type="dxa"/>
            <w:shd w:val="clear" w:color="auto" w:fill="17365D"/>
            <w:vAlign w:val="center"/>
          </w:tcPr>
          <w:p w14:paraId="75422EDC" w14:textId="77777777" w:rsidR="005F4712" w:rsidRDefault="00000000">
            <w:pPr>
              <w:spacing w:after="0"/>
            </w:pPr>
            <w:r>
              <w:rPr>
                <w:b/>
                <w:color w:val="FFFFFF"/>
                <w:sz w:val="18"/>
              </w:rPr>
              <w:t>Assumption used</w:t>
            </w:r>
          </w:p>
        </w:tc>
        <w:tc>
          <w:tcPr>
            <w:tcW w:w="3456" w:type="dxa"/>
            <w:shd w:val="clear" w:color="auto" w:fill="17365D"/>
            <w:vAlign w:val="center"/>
          </w:tcPr>
          <w:p w14:paraId="070CAA3B" w14:textId="77777777" w:rsidR="005F4712" w:rsidRDefault="00000000">
            <w:pPr>
              <w:spacing w:after="0"/>
            </w:pPr>
            <w:r>
              <w:rPr>
                <w:b/>
                <w:color w:val="FFFFFF"/>
                <w:sz w:val="18"/>
              </w:rPr>
              <w:t>What must be checked</w:t>
            </w:r>
          </w:p>
        </w:tc>
      </w:tr>
      <w:tr w:rsidR="005F4712" w14:paraId="7F93E8DC" w14:textId="77777777">
        <w:trPr>
          <w:cantSplit/>
          <w:jc w:val="center"/>
        </w:trPr>
        <w:tc>
          <w:tcPr>
            <w:tcW w:w="1728" w:type="dxa"/>
            <w:shd w:val="clear" w:color="auto" w:fill="F2F6FA"/>
            <w:vAlign w:val="center"/>
          </w:tcPr>
          <w:p w14:paraId="5EEC418E" w14:textId="77777777" w:rsidR="005F4712" w:rsidRDefault="00000000">
            <w:pPr>
              <w:spacing w:after="0"/>
            </w:pPr>
            <w:r>
              <w:rPr>
                <w:sz w:val="18"/>
              </w:rPr>
              <w:t>Cell geometry</w:t>
            </w:r>
          </w:p>
        </w:tc>
        <w:tc>
          <w:tcPr>
            <w:tcW w:w="3888" w:type="dxa"/>
            <w:shd w:val="clear" w:color="auto" w:fill="F2F6FA"/>
            <w:vAlign w:val="center"/>
          </w:tcPr>
          <w:p w14:paraId="289BC193" w14:textId="77777777" w:rsidR="005F4712" w:rsidRDefault="00000000">
            <w:pPr>
              <w:spacing w:after="0"/>
            </w:pPr>
            <w:r>
              <w:rPr>
                <w:sz w:val="18"/>
              </w:rPr>
              <w:t>Equal hexagonal cells with radius 2 km.</w:t>
            </w:r>
          </w:p>
        </w:tc>
        <w:tc>
          <w:tcPr>
            <w:tcW w:w="3456" w:type="dxa"/>
            <w:shd w:val="clear" w:color="auto" w:fill="F2F6FA"/>
            <w:vAlign w:val="center"/>
          </w:tcPr>
          <w:p w14:paraId="7A5DE7D6" w14:textId="77777777" w:rsidR="005F4712" w:rsidRDefault="00000000">
            <w:pPr>
              <w:spacing w:after="0"/>
            </w:pPr>
            <w:r>
              <w:rPr>
                <w:sz w:val="18"/>
              </w:rPr>
              <w:t>Terrain, buildings, real cell footprints, antenna patterns and coverage thresholds.</w:t>
            </w:r>
          </w:p>
        </w:tc>
      </w:tr>
      <w:tr w:rsidR="005F4712" w14:paraId="1B5C7179" w14:textId="77777777">
        <w:trPr>
          <w:cantSplit/>
          <w:jc w:val="center"/>
        </w:trPr>
        <w:tc>
          <w:tcPr>
            <w:tcW w:w="1728" w:type="dxa"/>
            <w:vAlign w:val="center"/>
          </w:tcPr>
          <w:p w14:paraId="68594451" w14:textId="77777777" w:rsidR="005F4712" w:rsidRDefault="00000000">
            <w:pPr>
              <w:spacing w:after="0"/>
            </w:pPr>
            <w:r>
              <w:rPr>
                <w:sz w:val="18"/>
              </w:rPr>
              <w:t>Reuse</w:t>
            </w:r>
          </w:p>
        </w:tc>
        <w:tc>
          <w:tcPr>
            <w:tcW w:w="3888" w:type="dxa"/>
            <w:vAlign w:val="center"/>
          </w:tcPr>
          <w:p w14:paraId="439ED621" w14:textId="77777777" w:rsidR="005F4712" w:rsidRDefault="00000000">
            <w:pPr>
              <w:spacing w:after="0"/>
            </w:pPr>
            <w:r>
              <w:rPr>
                <w:sz w:val="18"/>
              </w:rPr>
              <w:t>Conventional hexagonal reuse formula with N = 7.</w:t>
            </w:r>
          </w:p>
        </w:tc>
        <w:tc>
          <w:tcPr>
            <w:tcW w:w="3456" w:type="dxa"/>
            <w:vAlign w:val="center"/>
          </w:tcPr>
          <w:p w14:paraId="3F898FBF" w14:textId="77777777" w:rsidR="005F4712" w:rsidRDefault="00000000">
            <w:pPr>
              <w:spacing w:after="0"/>
            </w:pPr>
            <w:r>
              <w:rPr>
                <w:sz w:val="18"/>
              </w:rPr>
              <w:t>Actual band plan, sectoring, antenna discrimination and neighbouring-cell interference.</w:t>
            </w:r>
          </w:p>
        </w:tc>
      </w:tr>
      <w:tr w:rsidR="005F4712" w14:paraId="0A8EE3E2" w14:textId="77777777">
        <w:trPr>
          <w:cantSplit/>
          <w:jc w:val="center"/>
        </w:trPr>
        <w:tc>
          <w:tcPr>
            <w:tcW w:w="1728" w:type="dxa"/>
            <w:shd w:val="clear" w:color="auto" w:fill="F2F6FA"/>
            <w:vAlign w:val="center"/>
          </w:tcPr>
          <w:p w14:paraId="4479F5B0" w14:textId="77777777" w:rsidR="005F4712" w:rsidRDefault="00000000">
            <w:pPr>
              <w:spacing w:after="0"/>
            </w:pPr>
            <w:r>
              <w:rPr>
                <w:sz w:val="18"/>
              </w:rPr>
              <w:t>Traffic</w:t>
            </w:r>
          </w:p>
        </w:tc>
        <w:tc>
          <w:tcPr>
            <w:tcW w:w="3888" w:type="dxa"/>
            <w:shd w:val="clear" w:color="auto" w:fill="F2F6FA"/>
            <w:vAlign w:val="center"/>
          </w:tcPr>
          <w:p w14:paraId="15D34CC3" w14:textId="77777777" w:rsidR="005F4712" w:rsidRDefault="00000000">
            <w:pPr>
              <w:spacing w:after="0"/>
            </w:pPr>
            <w:r>
              <w:rPr>
                <w:sz w:val="18"/>
              </w:rPr>
              <w:t>1,000 subscribers each offer 0.08 Erlang in busy hour; Erlang B loss model applies.</w:t>
            </w:r>
          </w:p>
        </w:tc>
        <w:tc>
          <w:tcPr>
            <w:tcW w:w="3456" w:type="dxa"/>
            <w:shd w:val="clear" w:color="auto" w:fill="F2F6FA"/>
            <w:vAlign w:val="center"/>
          </w:tcPr>
          <w:p w14:paraId="663496ED" w14:textId="77777777" w:rsidR="005F4712" w:rsidRDefault="00000000">
            <w:pPr>
              <w:spacing w:after="0"/>
            </w:pPr>
            <w:r>
              <w:rPr>
                <w:sz w:val="18"/>
              </w:rPr>
              <w:t>Measured traffic distributions, busy-hour variation, growth, channel definitions and service mix.</w:t>
            </w:r>
          </w:p>
        </w:tc>
      </w:tr>
      <w:tr w:rsidR="005F4712" w14:paraId="6E0C9ABF" w14:textId="77777777">
        <w:trPr>
          <w:cantSplit/>
          <w:jc w:val="center"/>
        </w:trPr>
        <w:tc>
          <w:tcPr>
            <w:tcW w:w="1728" w:type="dxa"/>
            <w:vAlign w:val="center"/>
          </w:tcPr>
          <w:p w14:paraId="26C90A27" w14:textId="77777777" w:rsidR="005F4712" w:rsidRDefault="00000000">
            <w:pPr>
              <w:spacing w:after="0"/>
            </w:pPr>
            <w:r>
              <w:rPr>
                <w:sz w:val="18"/>
              </w:rPr>
              <w:t>Handoff</w:t>
            </w:r>
          </w:p>
        </w:tc>
        <w:tc>
          <w:tcPr>
            <w:tcW w:w="3888" w:type="dxa"/>
            <w:vAlign w:val="center"/>
          </w:tcPr>
          <w:p w14:paraId="099744BA" w14:textId="77777777" w:rsidR="005F4712" w:rsidRDefault="00000000">
            <w:pPr>
              <w:spacing w:after="0"/>
            </w:pPr>
            <w:r>
              <w:rPr>
                <w:sz w:val="18"/>
              </w:rPr>
              <w:t>One boundary per 1 km of route; target unavailability equals per-handoff failure probability in the simplified estimate.</w:t>
            </w:r>
          </w:p>
        </w:tc>
        <w:tc>
          <w:tcPr>
            <w:tcW w:w="3456" w:type="dxa"/>
            <w:vAlign w:val="center"/>
          </w:tcPr>
          <w:p w14:paraId="0B343CC9" w14:textId="77777777" w:rsidR="005F4712" w:rsidRDefault="00000000">
            <w:pPr>
              <w:spacing w:after="0"/>
            </w:pPr>
            <w:r>
              <w:rPr>
                <w:sz w:val="18"/>
              </w:rPr>
              <w:t>Real route geometry, overlap, failure logs, handoff thresholds, radio quality and target-cell load.</w:t>
            </w:r>
          </w:p>
        </w:tc>
      </w:tr>
      <w:tr w:rsidR="005F4712" w14:paraId="385F9CCE" w14:textId="77777777">
        <w:trPr>
          <w:cantSplit/>
          <w:jc w:val="center"/>
        </w:trPr>
        <w:tc>
          <w:tcPr>
            <w:tcW w:w="1728" w:type="dxa"/>
            <w:shd w:val="clear" w:color="auto" w:fill="F2F6FA"/>
            <w:vAlign w:val="center"/>
          </w:tcPr>
          <w:p w14:paraId="74998646" w14:textId="77777777" w:rsidR="005F4712" w:rsidRDefault="00000000">
            <w:pPr>
              <w:spacing w:after="0"/>
            </w:pPr>
            <w:r>
              <w:rPr>
                <w:sz w:val="18"/>
              </w:rPr>
              <w:t>SINR</w:t>
            </w:r>
          </w:p>
        </w:tc>
        <w:tc>
          <w:tcPr>
            <w:tcW w:w="3888" w:type="dxa"/>
            <w:shd w:val="clear" w:color="auto" w:fill="F2F6FA"/>
            <w:vAlign w:val="center"/>
          </w:tcPr>
          <w:p w14:paraId="40C1130E" w14:textId="77777777" w:rsidR="005F4712" w:rsidRDefault="00000000">
            <w:pPr>
              <w:spacing w:after="0"/>
            </w:pPr>
            <w:r>
              <w:rPr>
                <w:sz w:val="18"/>
              </w:rPr>
              <w:t>Noise is neglected because noise power is not supplied.</w:t>
            </w:r>
          </w:p>
        </w:tc>
        <w:tc>
          <w:tcPr>
            <w:tcW w:w="3456" w:type="dxa"/>
            <w:shd w:val="clear" w:color="auto" w:fill="F2F6FA"/>
            <w:vAlign w:val="center"/>
          </w:tcPr>
          <w:p w14:paraId="4A04E204" w14:textId="77777777" w:rsidR="005F4712" w:rsidRDefault="00000000">
            <w:pPr>
              <w:spacing w:after="0"/>
            </w:pPr>
            <w:r>
              <w:rPr>
                <w:sz w:val="18"/>
              </w:rPr>
              <w:t>Receiver noise figure, bandwidth, measured interference, antenna gain and link budget.</w:t>
            </w:r>
          </w:p>
        </w:tc>
      </w:tr>
      <w:tr w:rsidR="005F4712" w14:paraId="4B1DFB4F" w14:textId="77777777">
        <w:trPr>
          <w:cantSplit/>
          <w:jc w:val="center"/>
        </w:trPr>
        <w:tc>
          <w:tcPr>
            <w:tcW w:w="1728" w:type="dxa"/>
            <w:vAlign w:val="center"/>
          </w:tcPr>
          <w:p w14:paraId="470F4D26" w14:textId="77777777" w:rsidR="005F4712" w:rsidRDefault="00000000">
            <w:pPr>
              <w:spacing w:after="0"/>
            </w:pPr>
            <w:r>
              <w:rPr>
                <w:sz w:val="18"/>
              </w:rPr>
              <w:t>Spectrum</w:t>
            </w:r>
          </w:p>
        </w:tc>
        <w:tc>
          <w:tcPr>
            <w:tcW w:w="3888" w:type="dxa"/>
            <w:vAlign w:val="center"/>
          </w:tcPr>
          <w:p w14:paraId="310F7B21" w14:textId="77777777" w:rsidR="005F4712" w:rsidRDefault="00000000">
            <w:pPr>
              <w:spacing w:after="0"/>
            </w:pPr>
            <w:r>
              <w:rPr>
                <w:sz w:val="18"/>
              </w:rPr>
              <w:t>Free-space propagation at 100 m; same distance for all bands.</w:t>
            </w:r>
          </w:p>
        </w:tc>
        <w:tc>
          <w:tcPr>
            <w:tcW w:w="3456" w:type="dxa"/>
            <w:vAlign w:val="center"/>
          </w:tcPr>
          <w:p w14:paraId="39F3700A" w14:textId="77777777" w:rsidR="005F4712" w:rsidRDefault="00000000">
            <w:pPr>
              <w:spacing w:after="0"/>
            </w:pPr>
            <w:r>
              <w:rPr>
                <w:sz w:val="18"/>
              </w:rPr>
              <w:t>Clutter, building penetration, rain/atmospheric effects where relevant, blockage, power limits and antenna gains.</w:t>
            </w:r>
          </w:p>
        </w:tc>
      </w:tr>
      <w:tr w:rsidR="005F4712" w14:paraId="688AB8BE" w14:textId="77777777">
        <w:trPr>
          <w:cantSplit/>
          <w:jc w:val="center"/>
        </w:trPr>
        <w:tc>
          <w:tcPr>
            <w:tcW w:w="1728" w:type="dxa"/>
            <w:shd w:val="clear" w:color="auto" w:fill="F2F6FA"/>
            <w:vAlign w:val="center"/>
          </w:tcPr>
          <w:p w14:paraId="583EF112" w14:textId="77777777" w:rsidR="005F4712" w:rsidRDefault="00000000">
            <w:pPr>
              <w:spacing w:after="0"/>
            </w:pPr>
            <w:r>
              <w:rPr>
                <w:sz w:val="18"/>
              </w:rPr>
              <w:lastRenderedPageBreak/>
              <w:t>Regulation</w:t>
            </w:r>
          </w:p>
        </w:tc>
        <w:tc>
          <w:tcPr>
            <w:tcW w:w="3888" w:type="dxa"/>
            <w:shd w:val="clear" w:color="auto" w:fill="F2F6FA"/>
            <w:vAlign w:val="center"/>
          </w:tcPr>
          <w:p w14:paraId="01B3248C" w14:textId="77777777" w:rsidR="005F4712" w:rsidRDefault="00000000">
            <w:pPr>
              <w:spacing w:after="0"/>
            </w:pPr>
            <w:r>
              <w:rPr>
                <w:sz w:val="18"/>
              </w:rPr>
              <w:t>Band comparison is technical and does not assume any band is licensed to the operator.</w:t>
            </w:r>
          </w:p>
        </w:tc>
        <w:tc>
          <w:tcPr>
            <w:tcW w:w="3456" w:type="dxa"/>
            <w:shd w:val="clear" w:color="auto" w:fill="F2F6FA"/>
            <w:vAlign w:val="center"/>
          </w:tcPr>
          <w:p w14:paraId="508DBCA4" w14:textId="77777777" w:rsidR="005F4712" w:rsidRDefault="00000000">
            <w:pPr>
              <w:spacing w:after="0"/>
            </w:pPr>
            <w:r>
              <w:rPr>
                <w:sz w:val="18"/>
              </w:rPr>
              <w:t>Current national allocation, licensing, emission limits and coordination obligations.</w:t>
            </w:r>
          </w:p>
        </w:tc>
      </w:tr>
    </w:tbl>
    <w:p w14:paraId="2CDE47B6" w14:textId="77777777" w:rsidR="005F4712" w:rsidRDefault="005F4712"/>
    <w:p w14:paraId="6671E02A" w14:textId="77777777" w:rsidR="005F4712" w:rsidRDefault="00000000">
      <w:r>
        <w:t>These uncertainties are material. The calculations are suitable for an initial engineering analysis and comparison, but not sufficient on their own to approve exact site locations, guarantee coverage or predict operational call-drop rates.</w:t>
      </w:r>
    </w:p>
    <w:p w14:paraId="39B19D4D" w14:textId="77777777" w:rsidR="005F4712" w:rsidRDefault="00000000">
      <w:pPr>
        <w:pStyle w:val="Heading1"/>
      </w:pPr>
      <w:r>
        <w:t>10. Conclusion</w:t>
      </w:r>
    </w:p>
    <w:p w14:paraId="6DEC57FB" w14:textId="77777777" w:rsidR="005F4712" w:rsidRDefault="00000000">
      <w:r>
        <w:t>The analysis demonstrates how cellular architecture, traffic demand, mobility, spectrum and interference must be considered together. The idealized 19-cell cluster area is 197.45 km², and the N = 7 reuse distance is 9.17 km. Offered traffic is 80 Erlangs; 100 channels satisfy the 2% Erlang B blocking target, with an estimated blocking probability of 0.399%, while 92 channels are the minimum under the model.</w:t>
      </w:r>
    </w:p>
    <w:p w14:paraId="1EF81D30" w14:textId="77777777" w:rsidR="005F4712" w:rsidRDefault="00000000">
      <w:r>
        <w:t>Mobility calculations give 100 m travelled during the overlap interval and approximately one handoff per minute under the stated route interpretation. The two specified interference sources combine to −83.81 dBm, giving an interference-limited SINR estimate of 13.81 dB; this does not meet the 15 dB target. Spectrum calculations show increasing free-space path loss with frequency at 100 m: 71.53 dB at 900 MHz, 83.33 dB at 3.5 GHz and 101.39 dB at 28 GHz.</w:t>
      </w:r>
    </w:p>
    <w:p w14:paraId="2F848E95" w14:textId="77777777" w:rsidR="005F4712" w:rsidRDefault="00000000">
      <w:r>
        <w:t>The justified strategy is to validate field conditions, retain an appropriate broad-coverage layer, add mid-band and small-cell capacity where measured demand requires it, mitigate interference, and use 28 GHz selectively for suitable hotspots. The operator should confirm licensed spectrum, real traffic, noise, propagation and handoff statistics before implementation. The 6G concepts should guide long-term awareness rather than be treated as guaranteed near-term capabilities.</w:t>
      </w:r>
    </w:p>
    <w:p w14:paraId="0B5EC34C" w14:textId="77777777" w:rsidR="005F4712" w:rsidRDefault="00000000">
      <w:pPr>
        <w:pStyle w:val="Heading1"/>
      </w:pPr>
      <w:r>
        <w:t>References</w:t>
      </w:r>
    </w:p>
    <w:p w14:paraId="4D76F3EE" w14:textId="77777777" w:rsidR="005F4712" w:rsidRDefault="00000000">
      <w:r>
        <w:t>1. ECA56 Advanced Wireless Communication Systems, “CO1 Integrated Engineering Analysis and Planning Assignment: Evolution, cellular planning, spectrum use and interference management,” supplied assignment brief, 4 pages.</w:t>
      </w:r>
    </w:p>
    <w:p w14:paraId="6778C993" w14:textId="77777777" w:rsidR="005F4712" w:rsidRDefault="00000000">
      <w:r>
        <w:t>2. International Telecommunication Union (ITU), Radiocommunication Sector (ITU-R), official information and recommendations. https://www.itu.int/itu-r/</w:t>
      </w:r>
    </w:p>
    <w:p w14:paraId="1FD9FD9F" w14:textId="77777777" w:rsidR="005F4712" w:rsidRDefault="00000000">
      <w:r>
        <w:t>3. International Telecommunication Union (ITU), World Radiocommunication Conference (WRC), official information. https://www.itu.int/wrc/</w:t>
      </w:r>
    </w:p>
    <w:p w14:paraId="08E381D9" w14:textId="77777777" w:rsidR="005F4712" w:rsidRDefault="00000000">
      <w:r>
        <w:t>4. International Telecommunication Union, Radio Regulations and spectrum-management information. https://www.itu.int/</w:t>
      </w:r>
    </w:p>
    <w:p w14:paraId="1AF92771" w14:textId="77777777" w:rsidR="005F4712" w:rsidRDefault="00000000">
      <w:r>
        <w:t>Note: The calculations and supplied technology examples in this report are based on the assignment brief. The ITU links are provided for institutional role verification; current national spectrum licensing should be checked with the relevant national regulator.</w:t>
      </w:r>
    </w:p>
    <w:sectPr w:rsidR="005F4712"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5F206" w14:textId="77777777" w:rsidR="00B27D03" w:rsidRDefault="00B27D03">
      <w:pPr>
        <w:spacing w:after="0" w:line="240" w:lineRule="auto"/>
      </w:pPr>
      <w:r>
        <w:separator/>
      </w:r>
    </w:p>
  </w:endnote>
  <w:endnote w:type="continuationSeparator" w:id="0">
    <w:p w14:paraId="4440AB99" w14:textId="77777777" w:rsidR="00B27D03" w:rsidRDefault="00B27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62BF" w14:textId="77777777" w:rsidR="005F4712" w:rsidRDefault="00000000">
    <w:pPr>
      <w:pStyle w:val="Footer"/>
      <w:jc w:val="center"/>
    </w:pPr>
    <w:r>
      <w:rPr>
        <w:color w:val="646464"/>
        <w:sz w:val="16"/>
      </w:rPr>
      <w:t>C01 Integrated Engineering Analysis and Planning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4FD03" w14:textId="77777777" w:rsidR="00B27D03" w:rsidRDefault="00B27D03">
      <w:pPr>
        <w:spacing w:after="0" w:line="240" w:lineRule="auto"/>
      </w:pPr>
      <w:r>
        <w:separator/>
      </w:r>
    </w:p>
  </w:footnote>
  <w:footnote w:type="continuationSeparator" w:id="0">
    <w:p w14:paraId="6FF941C9" w14:textId="77777777" w:rsidR="00B27D03" w:rsidRDefault="00B27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28BB" w14:textId="77777777" w:rsidR="005F4712" w:rsidRDefault="00000000">
    <w:pPr>
      <w:pStyle w:val="Header"/>
      <w:jc w:val="center"/>
    </w:pPr>
    <w:r>
      <w:rPr>
        <w:color w:val="646464"/>
        <w:sz w:val="16"/>
      </w:rPr>
      <w:t>ECA56 | ADVANCED WIRELESS COMMUNICATION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6637954">
    <w:abstractNumId w:val="8"/>
  </w:num>
  <w:num w:numId="2" w16cid:durableId="1294402918">
    <w:abstractNumId w:val="6"/>
  </w:num>
  <w:num w:numId="3" w16cid:durableId="370686466">
    <w:abstractNumId w:val="5"/>
  </w:num>
  <w:num w:numId="4" w16cid:durableId="1941525717">
    <w:abstractNumId w:val="4"/>
  </w:num>
  <w:num w:numId="5" w16cid:durableId="292516452">
    <w:abstractNumId w:val="7"/>
  </w:num>
  <w:num w:numId="6" w16cid:durableId="716245940">
    <w:abstractNumId w:val="3"/>
  </w:num>
  <w:num w:numId="7" w16cid:durableId="1752043812">
    <w:abstractNumId w:val="2"/>
  </w:num>
  <w:num w:numId="8" w16cid:durableId="1474983940">
    <w:abstractNumId w:val="1"/>
  </w:num>
  <w:num w:numId="9" w16cid:durableId="159378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92"/>
    <w:rsid w:val="0006063C"/>
    <w:rsid w:val="0015074B"/>
    <w:rsid w:val="0029639D"/>
    <w:rsid w:val="00326F90"/>
    <w:rsid w:val="005F4712"/>
    <w:rsid w:val="00AA1D8D"/>
    <w:rsid w:val="00AE0386"/>
    <w:rsid w:val="00B27D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FDB1E"/>
  <w14:defaultImageDpi w14:val="300"/>
  <w15:docId w15:val="{76FF5F34-9AAD-4C7E-AD2A-0675C586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4283</Words>
  <Characters>24414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Dhayaaparan V</cp:lastModifiedBy>
  <cp:revision>2</cp:revision>
  <dcterms:created xsi:type="dcterms:W3CDTF">2013-12-23T23:15:00Z</dcterms:created>
  <dcterms:modified xsi:type="dcterms:W3CDTF">2026-10-28T04:16:00Z</dcterms:modified>
  <cp:category/>
</cp:coreProperties>
</file>