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7B83" w:val="clear"/>
            <w:tcMar>
              <w:top w:type="dxa" w:w="600"/>
              <w:left w:type="dxa" w:w="720"/>
              <w:bottom w:type="dxa" w:w="600"/>
              <w:right w:type="dxa" w:w="720"/>
            </w:tcMar>
          </w:tcPr>
          <w:p>
            <w:pPr>
              <w:spacing w:after="80" w:before="0"/>
              <w:jc w:val="center"/>
            </w:pPr>
            <w:r>
              <w:rPr>
                <w:rFonts w:ascii="Arial" w:cs="Arial" w:eastAsia="Arial" w:hAnsi="Arial"/>
                <w:b/>
                <w:bCs/>
                <w:color w:val="FFFFFF"/>
                <w:sz w:val="24"/>
                <w:szCs w:val="24"/>
              </w:rPr>
              <w:t xml:space="preserve">PROJECT PROPOSAL</w:t>
            </w:r>
          </w:p>
          <w:p>
            <w:pPr>
              <w:spacing w:after="80" w:before="0"/>
              <w:jc w:val="center"/>
            </w:pPr>
            <w:r>
              <w:rPr>
                <w:rFonts w:ascii="Arial" w:cs="Arial" w:eastAsia="Arial" w:hAnsi="Arial"/>
                <w:b/>
                <w:bCs/>
                <w:color w:val="FFFFFF"/>
                <w:sz w:val="56"/>
                <w:szCs w:val="56"/>
              </w:rPr>
              <w:t xml:space="preserve">Ghost Identity Hunter</w:t>
            </w:r>
          </w:p>
          <w:p>
            <w:pPr>
              <w:spacing w:after="160" w:before="0"/>
              <w:jc w:val="center"/>
            </w:pPr>
            <w:r>
              <w:rPr>
                <w:rFonts w:ascii="Arial" w:cs="Arial" w:eastAsia="Arial" w:hAnsi="Arial"/>
                <w:color w:val="CCF0F2"/>
                <w:sz w:val="26"/>
                <w:szCs w:val="26"/>
              </w:rPr>
              <w:t xml:space="preserve">Automated OSINT Attribution Platform for Synthetic &amp; Stolen Digital Identities</w:t>
            </w:r>
          </w:p>
          <w:p>
            <w:pPr>
              <w:spacing w:after="0" w:before="0"/>
              <w:jc w:val="center"/>
            </w:pPr>
            <w:r>
              <w:rPr>
                <w:rFonts w:ascii="Arial" w:cs="Arial" w:eastAsia="Arial" w:hAnsi="Arial"/>
                <w:color w:val="CCF0F2"/>
                <w:sz w:val="20"/>
                <w:szCs w:val="20"/>
              </w:rPr>
              <w:t xml:space="preserve">CSCD Group 2  ·  Capstone Project  ·  Version 2.0  ·  June 2026</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spacing w:after="40" w:before="0"/>
              <w:jc w:val="center"/>
            </w:pPr>
            <w:r>
              <w:rPr>
                <w:rFonts w:ascii="Arial" w:cs="Arial" w:eastAsia="Arial" w:hAnsi="Arial"/>
                <w:color w:val="AAAAAA"/>
                <w:sz w:val="16"/>
                <w:szCs w:val="16"/>
              </w:rPr>
              <w:t xml:space="preserve">PLATFORMS</w:t>
            </w:r>
          </w:p>
          <w:p>
            <w:pPr>
              <w:spacing w:after="0" w:before="0"/>
              <w:jc w:val="center"/>
            </w:pPr>
            <w:r>
              <w:rPr>
                <w:rFonts w:ascii="Arial" w:cs="Arial" w:eastAsia="Arial" w:hAnsi="Arial"/>
                <w:b/>
                <w:bCs/>
                <w:color w:val="FFFFFF"/>
                <w:sz w:val="22"/>
                <w:szCs w:val="22"/>
              </w:rPr>
              <w:t xml:space="preserve">400+</w:t>
            </w:r>
          </w:p>
        </w:tc>
        <w:tc>
          <w:tcPr>
            <w:tcW w:type="dxa" w:w="2340"/>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spacing w:after="40" w:before="0"/>
              <w:jc w:val="center"/>
            </w:pPr>
            <w:r>
              <w:rPr>
                <w:rFonts w:ascii="Arial" w:cs="Arial" w:eastAsia="Arial" w:hAnsi="Arial"/>
                <w:color w:val="AAAAAA"/>
                <w:sz w:val="16"/>
                <w:szCs w:val="16"/>
              </w:rPr>
              <w:t xml:space="preserve">OSINT MODULES</w:t>
            </w:r>
          </w:p>
          <w:p>
            <w:pPr>
              <w:spacing w:after="0" w:before="0"/>
              <w:jc w:val="center"/>
            </w:pPr>
            <w:r>
              <w:rPr>
                <w:rFonts w:ascii="Arial" w:cs="Arial" w:eastAsia="Arial" w:hAnsi="Arial"/>
                <w:b/>
                <w:bCs/>
                <w:color w:val="FFFFFF"/>
                <w:sz w:val="22"/>
                <w:szCs w:val="22"/>
              </w:rPr>
              <w:t xml:space="preserve">5</w:t>
            </w:r>
          </w:p>
        </w:tc>
        <w:tc>
          <w:tcPr>
            <w:tcW w:type="dxa" w:w="2340"/>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spacing w:after="40" w:before="0"/>
              <w:jc w:val="center"/>
            </w:pPr>
            <w:r>
              <w:rPr>
                <w:rFonts w:ascii="Arial" w:cs="Arial" w:eastAsia="Arial" w:hAnsi="Arial"/>
                <w:color w:val="AAAAAA"/>
                <w:sz w:val="16"/>
                <w:szCs w:val="16"/>
              </w:rPr>
              <w:t xml:space="preserve">ATT&amp;CK TECHNIQUES</w:t>
            </w:r>
          </w:p>
          <w:p>
            <w:pPr>
              <w:spacing w:after="0" w:before="0"/>
              <w:jc w:val="center"/>
            </w:pPr>
            <w:r>
              <w:rPr>
                <w:rFonts w:ascii="Arial" w:cs="Arial" w:eastAsia="Arial" w:hAnsi="Arial"/>
                <w:b/>
                <w:bCs/>
                <w:color w:val="FFFFFF"/>
                <w:sz w:val="22"/>
                <w:szCs w:val="22"/>
              </w:rPr>
              <w:t xml:space="preserve">7</w:t>
            </w:r>
          </w:p>
        </w:tc>
        <w:tc>
          <w:tcPr>
            <w:tcW w:type="dxa" w:w="2340"/>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spacing w:after="40" w:before="0"/>
              <w:jc w:val="center"/>
            </w:pPr>
            <w:r>
              <w:rPr>
                <w:rFonts w:ascii="Arial" w:cs="Arial" w:eastAsia="Arial" w:hAnsi="Arial"/>
                <w:color w:val="AAAAAA"/>
                <w:sz w:val="16"/>
                <w:szCs w:val="16"/>
              </w:rPr>
              <w:t xml:space="preserve">INFRA COST</w:t>
            </w:r>
          </w:p>
          <w:p>
            <w:pPr>
              <w:spacing w:after="0" w:before="0"/>
              <w:jc w:val="center"/>
            </w:pPr>
            <w:r>
              <w:rPr>
                <w:rFonts w:ascii="Arial" w:cs="Arial" w:eastAsia="Arial" w:hAnsi="Arial"/>
                <w:b/>
                <w:bCs/>
                <w:color w:val="FFFFFF"/>
                <w:sz w:val="22"/>
                <w:szCs w:val="22"/>
              </w:rPr>
              <w:t xml:space="preserve">$0</w:t>
            </w:r>
          </w:p>
        </w:tc>
      </w:tr>
    </w:tbl>
    <w:p>
      <w:pPr>
        <w:spacing w:after="240" w:before="0"/>
      </w:pPr>
      <w:r>
        <w:t xml:space="preserve"/>
      </w:r>
    </w:p>
    <w:p>
      <w:pPr>
        <w:pStyle w:val="Heading1"/>
        <w:pBdr>
          <w:bottom w:val="single" w:color="007B83" w:sz="8" w:space="4"/>
        </w:pBdr>
        <w:spacing w:after="160" w:before="360"/>
      </w:pPr>
      <w:r>
        <w:rPr>
          <w:rFonts w:ascii="Arial" w:cs="Arial" w:eastAsia="Arial" w:hAnsi="Arial"/>
          <w:b/>
          <w:bCs/>
          <w:color w:val="007B83"/>
          <w:sz w:val="36"/>
          <w:szCs w:val="36"/>
        </w:rPr>
        <w:t xml:space="preserve">1. Project Objective</w:t>
      </w:r>
    </w:p>
    <w:p>
      <w:pPr>
        <w:spacing w:after="100" w:before="80"/>
        <w:jc w:val="both"/>
      </w:pPr>
      <w:r>
        <w:rPr>
          <w:rFonts w:ascii="Arial" w:cs="Arial" w:eastAsia="Arial" w:hAnsi="Arial"/>
          <w:color w:val="333333"/>
          <w:sz w:val="22"/>
          <w:szCs w:val="22"/>
        </w:rPr>
        <w:t xml:space="preserve">Ghost Identity Hunter is an automated Open-Source Intelligence (OSINT) attribution platform designed to detect, correlate, and expose synthetic and stolen digital identities. The platform addresses a critical gap in modern cyber investigations: threat actors routinely fragment their digital footprints across dozens of platforms, making manual attribution slow, inconsistent, and legally fragile.</w:t>
      </w:r>
    </w:p>
    <w:p>
      <w:pPr>
        <w:spacing w:after="120" w:before="0"/>
      </w:pPr>
      <w:r>
        <w:t xml:space="preserve"/>
      </w:r>
    </w:p>
    <w:p>
      <w:pPr>
        <w:spacing w:after="100" w:before="80"/>
        <w:jc w:val="both"/>
      </w:pPr>
      <w:r>
        <w:rPr>
          <w:rFonts w:ascii="Arial" w:cs="Arial" w:eastAsia="Arial" w:hAnsi="Arial"/>
          <w:color w:val="333333"/>
          <w:sz w:val="22"/>
          <w:szCs w:val="22"/>
        </w:rPr>
        <w:t xml:space="preserve">The core objective is to deliver a production-grade, locally deployable tool that automates the full attribution pipeline — from seed artifact ingestion through multi-vector OSINT collection, graph-theoretic correlation, and legally defensible report generation — with zero cloud infrastructure dependency and strict adherence to passive, ethical OSINT practices.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0F4F5" w:val="clear"/>
            <w:tcMar>
              <w:top w:type="dxa" w:w="160"/>
              <w:left w:type="dxa" w:w="240"/>
              <w:bottom w:type="dxa" w:w="160"/>
              <w:right w:type="dxa" w:w="240"/>
            </w:tcMar>
          </w:tcPr>
          <w:p>
            <w:pPr>
              <w:spacing w:after="80" w:before="0"/>
            </w:pPr>
            <w:r>
              <w:rPr>
                <w:rFonts w:ascii="Arial" w:cs="Arial" w:eastAsia="Arial" w:hAnsi="Arial"/>
                <w:b/>
                <w:bCs/>
                <w:color w:val="007B83"/>
                <w:sz w:val="22"/>
                <w:szCs w:val="22"/>
              </w:rPr>
              <w:t xml:space="preserve">Strategic Objectives</w:t>
            </w:r>
          </w:p>
          <w:p>
            <w:pPr>
              <w:pStyle w:val="ListParagraph"/>
              <w:numPr>
                <w:ilvl w:val="0"/>
                <w:numId w:val="2"/>
              </w:numPr>
              <w:spacing w:after="40" w:before="40"/>
            </w:pPr>
            <w:r>
              <w:rPr>
                <w:rFonts w:ascii="Arial" w:cs="Arial" w:eastAsia="Arial" w:hAnsi="Arial"/>
                <w:color w:val="333333"/>
                <w:sz w:val="21"/>
                <w:szCs w:val="21"/>
              </w:rPr>
              <w:t xml:space="preserve">Automate multi-vector OSINT collection across phone, email, username, and profile image artifacts</w:t>
            </w:r>
          </w:p>
          <w:p>
            <w:pPr>
              <w:pStyle w:val="ListParagraph"/>
              <w:numPr>
                <w:ilvl w:val="0"/>
                <w:numId w:val="2"/>
              </w:numPr>
              <w:spacing w:after="40" w:before="40"/>
            </w:pPr>
            <w:r>
              <w:rPr>
                <w:rFonts w:ascii="Arial" w:cs="Arial" w:eastAsia="Arial" w:hAnsi="Arial"/>
                <w:color w:val="333333"/>
                <w:sz w:val="21"/>
                <w:szCs w:val="21"/>
              </w:rPr>
              <w:t xml:space="preserve">Correlate fragmented digital artifacts into unified persona clusters using graph-theoretic methods</w:t>
            </w:r>
          </w:p>
          <w:p>
            <w:pPr>
              <w:pStyle w:val="ListParagraph"/>
              <w:numPr>
                <w:ilvl w:val="0"/>
                <w:numId w:val="2"/>
              </w:numPr>
              <w:spacing w:after="40" w:before="40"/>
            </w:pPr>
            <w:r>
              <w:rPr>
                <w:rFonts w:ascii="Arial" w:cs="Arial" w:eastAsia="Arial" w:hAnsi="Arial"/>
                <w:color w:val="333333"/>
                <w:sz w:val="21"/>
                <w:szCs w:val="21"/>
              </w:rPr>
              <w:t xml:space="preserve">Provide quantified, time-aware confidence scoring per relationship link</w:t>
            </w:r>
          </w:p>
          <w:p>
            <w:pPr>
              <w:pStyle w:val="ListParagraph"/>
              <w:numPr>
                <w:ilvl w:val="0"/>
                <w:numId w:val="2"/>
              </w:numPr>
              <w:spacing w:after="40" w:before="40"/>
            </w:pPr>
            <w:r>
              <w:rPr>
                <w:rFonts w:ascii="Arial" w:cs="Arial" w:eastAsia="Arial" w:hAnsi="Arial"/>
                <w:color w:val="333333"/>
                <w:sz w:val="21"/>
                <w:szCs w:val="21"/>
              </w:rPr>
              <w:t xml:space="preserve">Generate legally defensible, chain-of-custody compliant reports in HTML, PDF, and STIX 2.1 formats</w:t>
            </w:r>
          </w:p>
          <w:p>
            <w:pPr>
              <w:pStyle w:val="ListParagraph"/>
              <w:numPr>
                <w:ilvl w:val="0"/>
                <w:numId w:val="2"/>
              </w:numPr>
              <w:spacing w:after="40" w:before="40"/>
            </w:pPr>
            <w:r>
              <w:rPr>
                <w:rFonts w:ascii="Arial" w:cs="Arial" w:eastAsia="Arial" w:hAnsi="Arial"/>
                <w:color w:val="333333"/>
                <w:sz w:val="21"/>
                <w:szCs w:val="21"/>
              </w:rPr>
              <w:t xml:space="preserve">Operate with zero infrastructure cost as a local CLI tool using SQLite persistence</w:t>
            </w:r>
          </w:p>
          <w:p>
            <w:pPr>
              <w:pStyle w:val="ListParagraph"/>
              <w:numPr>
                <w:ilvl w:val="0"/>
                <w:numId w:val="2"/>
              </w:numPr>
              <w:spacing w:after="40" w:before="40"/>
            </w:pPr>
            <w:r>
              <w:rPr>
                <w:rFonts w:ascii="Arial" w:cs="Arial" w:eastAsia="Arial" w:hAnsi="Arial"/>
                <w:color w:val="333333"/>
                <w:sz w:val="21"/>
                <w:szCs w:val="21"/>
              </w:rPr>
              <w:t xml:space="preserve">Comply with GDPR, CCPA, and IT Act 2000 while adhering to all API terms of service</w:t>
            </w:r>
          </w:p>
        </w:tc>
      </w:tr>
    </w:tbl>
    <w:p>
      <w:pPr>
        <w:spacing w:after="240" w:before="0"/>
      </w:pPr>
      <w:r>
        <w:t xml:space="preserve"/>
      </w:r>
    </w:p>
    <w:p>
      <w:pPr>
        <w:pStyle w:val="Heading1"/>
        <w:pBdr>
          <w:bottom w:val="single" w:color="007B83" w:sz="8" w:space="4"/>
        </w:pBdr>
        <w:spacing w:after="160" w:before="360"/>
      </w:pPr>
      <w:r>
        <w:rPr>
          <w:rFonts w:ascii="Arial" w:cs="Arial" w:eastAsia="Arial" w:hAnsi="Arial"/>
          <w:b/>
          <w:bCs/>
          <w:color w:val="007B83"/>
          <w:sz w:val="36"/>
          <w:szCs w:val="36"/>
        </w:rPr>
        <w:t xml:space="preserve">2. Problem Statement</w:t>
      </w:r>
    </w:p>
    <w:p>
      <w:pPr>
        <w:spacing w:after="100" w:before="80"/>
        <w:jc w:val="both"/>
      </w:pPr>
      <w:r>
        <w:rPr>
          <w:rFonts w:ascii="Arial" w:cs="Arial" w:eastAsia="Arial" w:hAnsi="Arial"/>
          <w:color w:val="333333"/>
          <w:sz w:val="22"/>
          <w:szCs w:val="22"/>
        </w:rPr>
        <w:t xml:space="preserve">Threat actors systematically compartmentalize their digital footprints to evade detection. Common evasion techniques include the use of burner or VoIP phone numbers that require no personal identification, disposable or forwarding email addresses, usernames registered across dozens of unrelated platforms, and stolen or AI-generated stock profile photographs to create plausible synthetic personas.</w:t>
      </w:r>
    </w:p>
    <w:p>
      <w:pPr>
        <w:spacing w:after="120" w:before="0"/>
      </w:pPr>
      <w:r>
        <w:t xml:space="preserve"/>
      </w:r>
    </w:p>
    <w:p>
      <w:pPr>
        <w:spacing w:after="100" w:before="80"/>
        <w:jc w:val="both"/>
      </w:pPr>
      <w:r>
        <w:rPr>
          <w:rFonts w:ascii="Arial" w:cs="Arial" w:eastAsia="Arial" w:hAnsi="Arial"/>
          <w:color w:val="333333"/>
          <w:sz w:val="22"/>
          <w:szCs w:val="22"/>
        </w:rPr>
        <w:t xml:space="preserve">Manual OSINT correlation conducted across multiple disconnected tools suffers from several compounding deficiencies:</w:t>
      </w:r>
    </w:p>
    <w:p>
      <w:pPr>
        <w:spacing w:after="120" w:before="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Time intensity — a single investigation can consume hours of analyst effort</w:t>
      </w:r>
    </w:p>
    <w:p>
      <w:pPr>
        <w:pStyle w:val="ListParagraph"/>
        <w:numPr>
          <w:ilvl w:val="0"/>
          <w:numId w:val="2"/>
        </w:numPr>
        <w:spacing w:after="60" w:before="60"/>
      </w:pPr>
      <w:r>
        <w:rPr>
          <w:rFonts w:ascii="Arial" w:cs="Arial" w:eastAsia="Arial" w:hAnsi="Arial"/>
          <w:b w:val="false"/>
          <w:bCs w:val="false"/>
          <w:color w:val="333333"/>
          <w:sz w:val="22"/>
          <w:szCs w:val="22"/>
        </w:rPr>
        <w:t xml:space="preserve">Error-prone output — no standardized confidence quantification exists</w:t>
      </w:r>
    </w:p>
    <w:p>
      <w:pPr>
        <w:pStyle w:val="ListParagraph"/>
        <w:numPr>
          <w:ilvl w:val="0"/>
          <w:numId w:val="2"/>
        </w:numPr>
        <w:spacing w:after="60" w:before="60"/>
      </w:pPr>
      <w:r>
        <w:rPr>
          <w:rFonts w:ascii="Arial" w:cs="Arial" w:eastAsia="Arial" w:hAnsi="Arial"/>
          <w:b w:val="false"/>
          <w:bCs w:val="false"/>
          <w:color w:val="333333"/>
          <w:sz w:val="22"/>
          <w:szCs w:val="22"/>
        </w:rPr>
        <w:t xml:space="preserve">Inconsistency — results vary significantly across analysts and sessions</w:t>
      </w:r>
    </w:p>
    <w:p>
      <w:pPr>
        <w:pStyle w:val="ListParagraph"/>
        <w:numPr>
          <w:ilvl w:val="0"/>
          <w:numId w:val="2"/>
        </w:numPr>
        <w:spacing w:after="60" w:before="60"/>
      </w:pPr>
      <w:r>
        <w:rPr>
          <w:rFonts w:ascii="Arial" w:cs="Arial" w:eastAsia="Arial" w:hAnsi="Arial"/>
          <w:b w:val="false"/>
          <w:bCs w:val="false"/>
          <w:color w:val="333333"/>
          <w:sz w:val="22"/>
          <w:szCs w:val="22"/>
        </w:rPr>
        <w:t xml:space="preserve">Absent audit trail — no chain-of-custody record for legal admissibility</w:t>
      </w:r>
    </w:p>
    <w:p>
      <w:pPr>
        <w:spacing w:after="240" w:before="0"/>
      </w:pPr>
      <w:r>
        <w:t xml:space="preserve"/>
      </w:r>
    </w:p>
    <w:p>
      <w:pPr>
        <w:pStyle w:val="Heading1"/>
        <w:pBdr>
          <w:bottom w:val="single" w:color="007B83" w:sz="8" w:space="4"/>
        </w:pBdr>
        <w:spacing w:after="160" w:before="360"/>
      </w:pPr>
      <w:r>
        <w:rPr>
          <w:rFonts w:ascii="Arial" w:cs="Arial" w:eastAsia="Arial" w:hAnsi="Arial"/>
          <w:b/>
          <w:bCs/>
          <w:color w:val="007B83"/>
          <w:sz w:val="36"/>
          <w:szCs w:val="36"/>
        </w:rPr>
        <w:t xml:space="preserve">3. Solution Framework</w:t>
      </w:r>
    </w:p>
    <w:p>
      <w:pPr>
        <w:spacing w:after="100" w:before="80"/>
        <w:jc w:val="both"/>
      </w:pPr>
      <w:r>
        <w:rPr>
          <w:rFonts w:ascii="Arial" w:cs="Arial" w:eastAsia="Arial" w:hAnsi="Arial"/>
          <w:color w:val="333333"/>
          <w:sz w:val="22"/>
          <w:szCs w:val="22"/>
        </w:rPr>
        <w:t xml:space="preserve">Ghost Identity Hunter is structured as a four-layer pipeline architecture, progressing from raw artifact ingestion to court-ready output. Each layer is independently testable and extensible.</w:t>
      </w:r>
    </w:p>
    <w:p>
      <w:pPr>
        <w:spacing w:after="120" w:before="0"/>
      </w:pPr>
      <w:r>
        <w:t xml:space="preserve"/>
      </w:r>
    </w:p>
    <w:p>
      <w:pPr>
        <w:pStyle w:val="Heading2"/>
        <w:spacing w:after="120" w:before="280"/>
      </w:pPr>
      <w:r>
        <w:rPr>
          <w:rFonts w:ascii="Arial" w:cs="Arial" w:eastAsia="Arial" w:hAnsi="Arial"/>
          <w:b/>
          <w:bCs/>
          <w:color w:val="1A1A2E"/>
          <w:sz w:val="26"/>
          <w:szCs w:val="26"/>
        </w:rPr>
        <w:t xml:space="preserve">3.1 Ingestion Layer</w:t>
      </w:r>
    </w:p>
    <w:p>
      <w:pPr>
        <w:spacing w:after="100" w:before="80"/>
        <w:jc w:val="both"/>
      </w:pPr>
      <w:r>
        <w:rPr>
          <w:rFonts w:ascii="Arial" w:cs="Arial" w:eastAsia="Arial" w:hAnsi="Arial"/>
          <w:color w:val="333333"/>
          <w:sz w:val="22"/>
          <w:szCs w:val="22"/>
        </w:rPr>
        <w:t xml:space="preserve">The entry point is a type-safe CLI built with Click, which validates all seed inputs — phone numbers to E.164 standard, email addresses to RFC 5321, usernames, and image files — before passing them to a Breadth-First Search (BFS) Orchestrator with a configurable maximum depth of 2 hops. A per-investigation SQLite database is instantiated at this stage to ensure complete isolation between concurrent investigations.</w:t>
      </w:r>
    </w:p>
    <w:p>
      <w:pPr>
        <w:spacing w:after="120" w:before="0"/>
      </w:pPr>
      <w:r>
        <w:t xml:space="preserve"/>
      </w:r>
    </w:p>
    <w:p>
      <w:pPr>
        <w:pStyle w:val="Heading2"/>
        <w:spacing w:after="120" w:before="280"/>
      </w:pPr>
      <w:r>
        <w:rPr>
          <w:rFonts w:ascii="Arial" w:cs="Arial" w:eastAsia="Arial" w:hAnsi="Arial"/>
          <w:b/>
          <w:bCs/>
          <w:color w:val="1A1A2E"/>
          <w:sz w:val="26"/>
          <w:szCs w:val="26"/>
        </w:rPr>
        <w:t xml:space="preserve">3.2 Collection Layer</w:t>
      </w:r>
    </w:p>
    <w:p>
      <w:pPr>
        <w:spacing w:after="100" w:before="80"/>
        <w:jc w:val="both"/>
      </w:pPr>
      <w:r>
        <w:rPr>
          <w:rFonts w:ascii="Arial" w:cs="Arial" w:eastAsia="Arial" w:hAnsi="Arial"/>
          <w:color w:val="333333"/>
          <w:sz w:val="22"/>
          <w:szCs w:val="22"/>
        </w:rPr>
        <w:t xml:space="preserve">Five specialized OSINT modules execute in parallel, each querying authoritative data sources via HTTPS with TLS 1.3:</w:t>
      </w:r>
    </w:p>
    <w:p>
      <w:pPr>
        <w:spacing w:after="120" w:before="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Phone Intelligence — phoneinfoga and phonenumbers library for E.164 parsing, carrier resolution, and VoIP detection</w:t>
      </w:r>
    </w:p>
    <w:p>
      <w:pPr>
        <w:pStyle w:val="ListParagraph"/>
        <w:numPr>
          <w:ilvl w:val="0"/>
          <w:numId w:val="2"/>
        </w:numPr>
        <w:spacing w:after="60" w:before="60"/>
      </w:pPr>
      <w:r>
        <w:rPr>
          <w:rFonts w:ascii="Arial" w:cs="Arial" w:eastAsia="Arial" w:hAnsi="Arial"/>
          <w:b w:val="false"/>
          <w:bCs w:val="false"/>
          <w:color w:val="333333"/>
          <w:sz w:val="22"/>
          <w:szCs w:val="22"/>
        </w:rPr>
        <w:t xml:space="preserve">Email Intelligence — Holehe probing 100+ services for registration detection, combined with h8mail and HIBP API v3 (k-anonymity protocol)</w:t>
      </w:r>
    </w:p>
    <w:p>
      <w:pPr>
        <w:pStyle w:val="ListParagraph"/>
        <w:numPr>
          <w:ilvl w:val="0"/>
          <w:numId w:val="2"/>
        </w:numPr>
        <w:spacing w:after="60" w:before="60"/>
      </w:pPr>
      <w:r>
        <w:rPr>
          <w:rFonts w:ascii="Arial" w:cs="Arial" w:eastAsia="Arial" w:hAnsi="Arial"/>
          <w:b w:val="false"/>
          <w:bCs w:val="false"/>
          <w:color w:val="333333"/>
          <w:sz w:val="22"/>
          <w:szCs w:val="22"/>
        </w:rPr>
        <w:t xml:space="preserve">Username Enumeration — Sherlock and Maigret tools scanning 400+ platforms in parallel with false-positive suppression</w:t>
      </w:r>
    </w:p>
    <w:p>
      <w:pPr>
        <w:pStyle w:val="ListParagraph"/>
        <w:numPr>
          <w:ilvl w:val="0"/>
          <w:numId w:val="2"/>
        </w:numPr>
        <w:spacing w:after="60" w:before="60"/>
      </w:pPr>
      <w:r>
        <w:rPr>
          <w:rFonts w:ascii="Arial" w:cs="Arial" w:eastAsia="Arial" w:hAnsi="Arial"/>
          <w:b w:val="false"/>
          <w:bCs w:val="false"/>
          <w:color w:val="333333"/>
          <w:sz w:val="22"/>
          <w:szCs w:val="22"/>
        </w:rPr>
        <w:t xml:space="preserve">Image Intelligence — Pillow for EXIF metadata extraction, face_recognition (dlib) for local face similarity, and perceptual hashing for reverse image search</w:t>
      </w:r>
    </w:p>
    <w:p>
      <w:pPr>
        <w:pStyle w:val="ListParagraph"/>
        <w:numPr>
          <w:ilvl w:val="0"/>
          <w:numId w:val="2"/>
        </w:numPr>
        <w:spacing w:after="60" w:before="60"/>
      </w:pPr>
      <w:r>
        <w:rPr>
          <w:rFonts w:ascii="Arial" w:cs="Arial" w:eastAsia="Arial" w:hAnsi="Arial"/>
          <w:b w:val="false"/>
          <w:bCs w:val="false"/>
          <w:color w:val="333333"/>
          <w:sz w:val="22"/>
          <w:szCs w:val="22"/>
        </w:rPr>
        <w:t xml:space="preserve">Breach Intelligence — HaveIBeenPwned API v3 with k-anonymity ensuring no full password hashes are transmitted</w:t>
      </w:r>
    </w:p>
    <w:p>
      <w:pPr>
        <w:spacing w:after="120" w:before="0"/>
      </w:pPr>
      <w:r>
        <w:t xml:space="preserve"/>
      </w:r>
    </w:p>
    <w:p>
      <w:pPr>
        <w:pStyle w:val="Heading2"/>
        <w:spacing w:after="120" w:before="280"/>
      </w:pPr>
      <w:r>
        <w:rPr>
          <w:rFonts w:ascii="Arial" w:cs="Arial" w:eastAsia="Arial" w:hAnsi="Arial"/>
          <w:b/>
          <w:bCs/>
          <w:color w:val="1A1A2E"/>
          <w:sz w:val="26"/>
          <w:szCs w:val="26"/>
        </w:rPr>
        <w:t xml:space="preserve">3.3 Correlation Layer</w:t>
      </w:r>
    </w:p>
    <w:p>
      <w:pPr>
        <w:spacing w:after="100" w:before="80"/>
        <w:jc w:val="both"/>
      </w:pPr>
      <w:r>
        <w:rPr>
          <w:rFonts w:ascii="Arial" w:cs="Arial" w:eastAsia="Arial" w:hAnsi="Arial"/>
          <w:color w:val="333333"/>
          <w:sz w:val="22"/>
          <w:szCs w:val="22"/>
        </w:rPr>
        <w:t xml:space="preserve">Collected artifacts are fed into a NetworkX DiGraph identity engine. The algorithm constructs a directed weighted graph where nodes represent artifact records (phone, email, username, image) and edges represent typed relationships with associated confidence scores. Weakly connected components of the graph are identified, with each component treated as a unified persona cluster.</w:t>
      </w:r>
    </w:p>
    <w:p>
      <w:pPr>
        <w:spacing w:after="120" w:before="0"/>
      </w:pPr>
      <w:r>
        <w:t xml:space="preserve"/>
      </w:r>
    </w:p>
    <w:p>
      <w:pPr>
        <w:spacing w:after="100" w:before="80"/>
        <w:jc w:val="both"/>
      </w:pPr>
      <w:r>
        <w:rPr>
          <w:rFonts w:ascii="Arial" w:cs="Arial" w:eastAsia="Arial" w:hAnsi="Arial"/>
          <w:color w:val="333333"/>
          <w:sz w:val="22"/>
          <w:szCs w:val="22"/>
        </w:rPr>
        <w:t xml:space="preserve">The confidence scoring model assigns base weights by link type and applies a staleness decay multiplier for aging evidence: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007B83" w:val="clear"/>
            <w:tcMar>
              <w:top w:type="dxa" w:w="80"/>
              <w:left w:type="dxa" w:w="120"/>
              <w:bottom w:type="dxa" w:w="80"/>
              <w:right w:type="dxa" w:w="120"/>
            </w:tcMar>
          </w:tcPr>
          <w:p>
            <w:r>
              <w:rPr>
                <w:rFonts w:ascii="Arial" w:cs="Arial" w:eastAsia="Arial" w:hAnsi="Arial"/>
                <w:b/>
                <w:bCs/>
                <w:color w:val="FFFFFF"/>
                <w:sz w:val="22"/>
                <w:szCs w:val="22"/>
              </w:rPr>
              <w:t xml:space="preserve">Link Type</w:t>
            </w:r>
          </w:p>
        </w:tc>
        <w:tc>
          <w:tcPr>
            <w:tcW w:type="dxa" w:w="4360"/>
            <w:tcBorders>
              <w:top w:val="single" w:color="CCCCCC" w:sz="1"/>
              <w:left w:val="single" w:color="CCCCCC" w:sz="1"/>
              <w:bottom w:val="single" w:color="CCCCCC" w:sz="1"/>
              <w:right w:val="single" w:color="CCCCCC" w:sz="1"/>
            </w:tcBorders>
            <w:shd w:fill="007B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Confidence Score</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2"/>
                <w:szCs w:val="22"/>
              </w:rPr>
              <w:t xml:space="preserve">exact_match</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007B83"/>
                <w:sz w:val="22"/>
                <w:szCs w:val="22"/>
              </w:rPr>
              <w:t xml:space="preserve">1.00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2"/>
                <w:szCs w:val="22"/>
              </w:rPr>
              <w:t xml:space="preserve">registered_with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7B83"/>
                <w:sz w:val="22"/>
                <w:szCs w:val="22"/>
              </w:rPr>
              <w:t xml:space="preserve">0.90</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2"/>
                <w:szCs w:val="22"/>
              </w:rPr>
              <w:t xml:space="preserve">breach_linked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007B83"/>
                <w:sz w:val="22"/>
                <w:szCs w:val="22"/>
              </w:rPr>
              <w:t xml:space="preserve">0.80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2"/>
                <w:szCs w:val="22"/>
              </w:rPr>
              <w:t xml:space="preserve">image_match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7B83"/>
                <w:sz w:val="22"/>
                <w:szCs w:val="22"/>
              </w:rPr>
              <w:t xml:space="preserve">0.75</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22"/>
                <w:szCs w:val="22"/>
              </w:rPr>
              <w:t xml:space="preserve">username_pattern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007B83"/>
                <w:sz w:val="22"/>
                <w:szCs w:val="22"/>
              </w:rPr>
              <w:t xml:space="preserve">0.60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22"/>
                <w:szCs w:val="22"/>
              </w:rPr>
              <w:t xml:space="preserve">temporal_match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7B83"/>
                <w:sz w:val="22"/>
                <w:szCs w:val="22"/>
              </w:rPr>
              <w:t xml:space="preserve">0.40</w:t>
            </w:r>
          </w:p>
        </w:tc>
      </w:tr>
    </w:tbl>
    <w:p>
      <w:pPr>
        <w:spacing w:after="120" w:before="0"/>
      </w:pPr>
      <w:r>
        <w:t xml:space="preserve"/>
      </w:r>
    </w:p>
    <w:p>
      <w:pPr>
        <w:spacing w:after="100" w:before="80"/>
        <w:jc w:val="both"/>
      </w:pPr>
      <w:r>
        <w:rPr>
          <w:rFonts w:ascii="Arial" w:cs="Arial" w:eastAsia="Arial" w:hAnsi="Arial"/>
          <w:color w:val="333333"/>
          <w:sz w:val="22"/>
          <w:szCs w:val="22"/>
        </w:rPr>
        <w:t xml:space="preserve">Staleness decay: evidence older than 365 days is multiplied by 0.80; evidence older than 730 days by 0.60. The final cluster score equals the cross-type link density divided by 5.0, capped at 1.0.</w:t>
      </w:r>
    </w:p>
    <w:p>
      <w:pPr>
        <w:spacing w:after="120" w:before="0"/>
      </w:pPr>
      <w:r>
        <w:t xml:space="preserve"/>
      </w:r>
    </w:p>
    <w:p>
      <w:pPr>
        <w:pStyle w:val="Heading2"/>
        <w:spacing w:after="120" w:before="280"/>
      </w:pPr>
      <w:r>
        <w:rPr>
          <w:rFonts w:ascii="Arial" w:cs="Arial" w:eastAsia="Arial" w:hAnsi="Arial"/>
          <w:b/>
          <w:bCs/>
          <w:color w:val="1A1A2E"/>
          <w:sz w:val="26"/>
          <w:szCs w:val="26"/>
        </w:rPr>
        <w:t xml:space="preserve">3.4 Reporting Layer</w:t>
      </w:r>
    </w:p>
    <w:p>
      <w:pPr>
        <w:spacing w:after="100" w:before="80"/>
        <w:jc w:val="both"/>
      </w:pPr>
      <w:r>
        <w:rPr>
          <w:rFonts w:ascii="Arial" w:cs="Arial" w:eastAsia="Arial" w:hAnsi="Arial"/>
          <w:color w:val="333333"/>
          <w:sz w:val="22"/>
          <w:szCs w:val="22"/>
        </w:rPr>
        <w:t xml:space="preserve">Investigation results are persisted to a SHA-256-integrity-verified SQLite database. On closure, the system packages a signed, timestamped ZIP archive containing the database, raw evidence references, and all generated reports. Three output formats are supported:</w:t>
      </w:r>
    </w:p>
    <w:p>
      <w:pPr>
        <w:spacing w:after="120" w:before="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HTML Report — interactive pyvis force-directed relationship graph, executive summary, identity profile, platform presence matrix, breach exposure analysis, and full evidence chain</w:t>
      </w:r>
    </w:p>
    <w:p>
      <w:pPr>
        <w:pStyle w:val="ListParagraph"/>
        <w:numPr>
          <w:ilvl w:val="0"/>
          <w:numId w:val="2"/>
        </w:numPr>
        <w:spacing w:after="60" w:before="60"/>
      </w:pPr>
      <w:r>
        <w:rPr>
          <w:rFonts w:ascii="Arial" w:cs="Arial" w:eastAsia="Arial" w:hAnsi="Arial"/>
          <w:b w:val="false"/>
          <w:bCs w:val="false"/>
          <w:color w:val="333333"/>
          <w:sz w:val="22"/>
          <w:szCs w:val="22"/>
        </w:rPr>
        <w:t xml:space="preserve">PDF Report — WeasyPrint-rendered printable version of all HTML sections except the interactive graph</w:t>
      </w:r>
    </w:p>
    <w:p>
      <w:pPr>
        <w:pStyle w:val="ListParagraph"/>
        <w:numPr>
          <w:ilvl w:val="0"/>
          <w:numId w:val="2"/>
        </w:numPr>
        <w:spacing w:after="60" w:before="60"/>
      </w:pPr>
      <w:r>
        <w:rPr>
          <w:rFonts w:ascii="Arial" w:cs="Arial" w:eastAsia="Arial" w:hAnsi="Arial"/>
          <w:b w:val="false"/>
          <w:bCs w:val="false"/>
          <w:color w:val="333333"/>
          <w:sz w:val="22"/>
          <w:szCs w:val="22"/>
        </w:rPr>
        <w:t xml:space="preserve">STIX 2.1 Bundle — machine-readable Cyber Threat Intelligence export containing ThreatActor SDOs, Indicator SDOs, Relationship SROs, and Note SDOs for integration with SIEM and CTI platforms</w:t>
      </w:r>
    </w:p>
    <w:p>
      <w:pPr>
        <w:spacing w:after="240" w:before="0"/>
      </w:pPr>
      <w:r>
        <w:t xml:space="preserve"/>
      </w:r>
    </w:p>
    <w:p>
      <w:pPr>
        <w:pStyle w:val="Heading1"/>
        <w:pBdr>
          <w:bottom w:val="single" w:color="007B83" w:sz="8" w:space="4"/>
        </w:pBdr>
        <w:spacing w:after="160" w:before="360"/>
      </w:pPr>
      <w:r>
        <w:rPr>
          <w:rFonts w:ascii="Arial" w:cs="Arial" w:eastAsia="Arial" w:hAnsi="Arial"/>
          <w:b/>
          <w:bCs/>
          <w:color w:val="007B83"/>
          <w:sz w:val="36"/>
          <w:szCs w:val="36"/>
        </w:rPr>
        <w:t xml:space="preserve">4. Security Architecture &amp; Compliance</w:t>
      </w:r>
    </w:p>
    <w:p>
      <w:pPr>
        <w:spacing w:after="100" w:before="80"/>
        <w:jc w:val="both"/>
      </w:pPr>
      <w:r>
        <w:rPr>
          <w:rFonts w:ascii="Arial" w:cs="Arial" w:eastAsia="Arial" w:hAnsi="Arial"/>
          <w:color w:val="333333"/>
          <w:sz w:val="22"/>
          <w:szCs w:val="22"/>
        </w:rPr>
        <w:t xml:space="preserve">The platform implements a Zero Trust data flow model with three clearly delineated trust zones: the trusted local host (CLI, orchestrator, SQLite), the untrusted external API boundary, and the sanitized parsed output layer. All inter-boundary communication enforces TLS 1.3 with certificate verification. API credentials are loaded exclusively from environment variables and are never embedded in URLs or committed to version control.</w:t>
      </w:r>
    </w:p>
    <w:p>
      <w:pPr>
        <w:spacing w:after="120" w:before="0"/>
      </w:pPr>
      <w:r>
        <w:t xml:space="preserve"/>
      </w:r>
    </w:p>
    <w:p>
      <w:pPr>
        <w:spacing w:after="100" w:before="80"/>
        <w:jc w:val="both"/>
      </w:pPr>
      <w:r>
        <w:rPr>
          <w:rFonts w:ascii="Arial" w:cs="Arial" w:eastAsia="Arial" w:hAnsi="Arial"/>
          <w:color w:val="333333"/>
          <w:sz w:val="22"/>
          <w:szCs w:val="22"/>
        </w:rPr>
        <w:t xml:space="preserve">Threat modeling is conducted using the STRIDE framework, identifying six platform-level threat categories including a Critical-severity risk of shell metacharacter injection via subprocess. Security controls are mapped to NIST SP 800-53 Rev. 5 across three control families:</w:t>
      </w:r>
    </w:p>
    <w:p>
      <w:pPr>
        <w:spacing w:after="120" w:before="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Preventive — Input Validation (SI-10), Secrets Management (IA-5), TLS Enforcement (SC-8)</w:t>
      </w:r>
    </w:p>
    <w:p>
      <w:pPr>
        <w:pStyle w:val="ListParagraph"/>
        <w:numPr>
          <w:ilvl w:val="0"/>
          <w:numId w:val="2"/>
        </w:numPr>
        <w:spacing w:after="60" w:before="60"/>
      </w:pPr>
      <w:r>
        <w:rPr>
          <w:rFonts w:ascii="Arial" w:cs="Arial" w:eastAsia="Arial" w:hAnsi="Arial"/>
          <w:b w:val="false"/>
          <w:bCs w:val="false"/>
          <w:color w:val="333333"/>
          <w:sz w:val="22"/>
          <w:szCs w:val="22"/>
        </w:rPr>
        <w:t xml:space="preserve">Detective — Event Logging (AU-2), Evidence Provenance (AU-3), Database Integrity (SI-7)</w:t>
      </w:r>
    </w:p>
    <w:p>
      <w:pPr>
        <w:pStyle w:val="ListParagraph"/>
        <w:numPr>
          <w:ilvl w:val="0"/>
          <w:numId w:val="2"/>
        </w:numPr>
        <w:spacing w:after="60" w:before="60"/>
      </w:pPr>
      <w:r>
        <w:rPr>
          <w:rFonts w:ascii="Arial" w:cs="Arial" w:eastAsia="Arial" w:hAnsi="Arial"/>
          <w:b w:val="false"/>
          <w:bCs w:val="false"/>
          <w:color w:val="333333"/>
          <w:sz w:val="22"/>
          <w:szCs w:val="22"/>
        </w:rPr>
        <w:t xml:space="preserve">Responsive — Rate Limit Backoff with exponential jitter (SC-5), Evidence Packaging (IR-4)</w:t>
      </w:r>
    </w:p>
    <w:p>
      <w:pPr>
        <w:spacing w:after="120" w:before="0"/>
      </w:pPr>
      <w:r>
        <w:t xml:space="preserve"/>
      </w:r>
    </w:p>
    <w:p>
      <w:pPr>
        <w:spacing w:after="100" w:before="80"/>
        <w:jc w:val="both"/>
      </w:pPr>
      <w:r>
        <w:rPr>
          <w:rFonts w:ascii="Arial" w:cs="Arial" w:eastAsia="Arial" w:hAnsi="Arial"/>
          <w:color w:val="333333"/>
          <w:sz w:val="22"/>
          <w:szCs w:val="22"/>
        </w:rPr>
        <w:t xml:space="preserve">The platform covers seven MITRE ATT&amp;CK techniques spanning techniques T1585.001 through T1056.003, encompassing social media account establishment, email compromise, credential breach correlation, phishing artifact detection, VoIP number acquisition, spearphishing via service, and web portal input capture.</w:t>
      </w:r>
    </w:p>
    <w:p>
      <w:pPr>
        <w:spacing w:after="240" w:before="0"/>
      </w:pPr>
      <w:r>
        <w:t xml:space="preserve"/>
      </w:r>
    </w:p>
    <w:p>
      <w:pPr>
        <w:pStyle w:val="Heading1"/>
        <w:pBdr>
          <w:bottom w:val="single" w:color="007B83" w:sz="8" w:space="4"/>
        </w:pBdr>
        <w:spacing w:after="160" w:before="360"/>
      </w:pPr>
      <w:r>
        <w:rPr>
          <w:rFonts w:ascii="Arial" w:cs="Arial" w:eastAsia="Arial" w:hAnsi="Arial"/>
          <w:b/>
          <w:bCs/>
          <w:color w:val="007B83"/>
          <w:sz w:val="36"/>
          <w:szCs w:val="36"/>
        </w:rPr>
        <w:t xml:space="preserve">5. Expected Outcomes &amp; Deliverables</w:t>
      </w:r>
    </w:p>
    <w:p>
      <w:pPr>
        <w:spacing w:after="100" w:before="80"/>
        <w:jc w:val="both"/>
      </w:pPr>
      <w:r>
        <w:rPr>
          <w:rFonts w:ascii="Arial" w:cs="Arial" w:eastAsia="Arial" w:hAnsi="Arial"/>
          <w:color w:val="333333"/>
          <w:sz w:val="22"/>
          <w:szCs w:val="22"/>
        </w:rPr>
        <w:t xml:space="preserve">The project delivers a production-ready OSINT attribution platform over a structured four-week roadmap. The following table maps each delivery phase to its expected output: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rPr>
          <w:tblHeader/>
        </w:trPr>
        <w:tc>
          <w:tcPr>
            <w:tcW w:type="dxa" w:w="2000"/>
            <w:tcBorders>
              <w:top w:val="single" w:color="CCCCCC" w:sz="1"/>
              <w:left w:val="single" w:color="CCCCCC" w:sz="1"/>
              <w:bottom w:val="single" w:color="CCCCCC" w:sz="1"/>
              <w:right w:val="single" w:color="CCCCCC" w:sz="1"/>
            </w:tcBorders>
            <w:shd w:fill="007B83"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3160"/>
            <w:tcBorders>
              <w:top w:val="single" w:color="CCCCCC" w:sz="1"/>
              <w:left w:val="single" w:color="CCCCCC" w:sz="1"/>
              <w:bottom w:val="single" w:color="CCCCCC" w:sz="1"/>
              <w:right w:val="single" w:color="CCCCCC" w:sz="1"/>
            </w:tcBorders>
            <w:shd w:fill="007B83" w:val="clear"/>
            <w:tcMar>
              <w:top w:type="dxa" w:w="80"/>
              <w:left w:type="dxa" w:w="120"/>
              <w:bottom w:type="dxa" w:w="80"/>
              <w:right w:type="dxa" w:w="120"/>
            </w:tcMar>
          </w:tcPr>
          <w:p>
            <w:r>
              <w:rPr>
                <w:rFonts w:ascii="Arial" w:cs="Arial" w:eastAsia="Arial" w:hAnsi="Arial"/>
                <w:b/>
                <w:bCs/>
                <w:color w:val="FFFFFF"/>
                <w:sz w:val="22"/>
                <w:szCs w:val="22"/>
              </w:rPr>
              <w:t xml:space="preserve">Deliverable</w:t>
            </w:r>
          </w:p>
        </w:tc>
        <w:tc>
          <w:tcPr>
            <w:tcW w:type="dxa" w:w="4200"/>
            <w:tcBorders>
              <w:top w:val="single" w:color="CCCCCC" w:sz="1"/>
              <w:left w:val="single" w:color="CCCCCC" w:sz="1"/>
              <w:bottom w:val="single" w:color="CCCCCC" w:sz="1"/>
              <w:right w:val="single" w:color="CCCCCC" w:sz="1"/>
            </w:tcBorders>
            <w:shd w:fill="007B83" w:val="clear"/>
            <w:tcMar>
              <w:top w:type="dxa" w:w="80"/>
              <w:left w:type="dxa" w:w="120"/>
              <w:bottom w:type="dxa" w:w="80"/>
              <w:right w:type="dxa" w:w="120"/>
            </w:tcMar>
          </w:tcPr>
          <w:p>
            <w:r>
              <w:rPr>
                <w:rFonts w:ascii="Arial" w:cs="Arial" w:eastAsia="Arial" w:hAnsi="Arial"/>
                <w:b/>
                <w:bCs/>
                <w:color w:val="FFFFFF"/>
                <w:sz w:val="22"/>
                <w:szCs w:val="22"/>
              </w:rPr>
              <w:t xml:space="preserve">Components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7B83"/>
                <w:sz w:val="22"/>
                <w:szCs w:val="22"/>
              </w:rPr>
              <w:t xml:space="preserve">Phase 1</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Core Infrastructure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SQLite schema, BFS orchestrator, CLI entry point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7B83"/>
                <w:sz w:val="22"/>
                <w:szCs w:val="22"/>
              </w:rPr>
              <w:t xml:space="preserve">Phase 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Collection Modules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Phone, Email, Username, Image, Breach modules + unit tests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7B83"/>
                <w:sz w:val="22"/>
                <w:szCs w:val="22"/>
              </w:rPr>
              <w:t xml:space="preserve">Phase 3</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Correlation Engine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NetworkX graph, Connected components, Confidence scorer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7B83"/>
                <w:sz w:val="22"/>
                <w:szCs w:val="22"/>
              </w:rPr>
              <w:t xml:space="preserve">Phase 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Reporting &amp; CTI Export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2"/>
                <w:szCs w:val="22"/>
              </w:rPr>
              <w:t xml:space="preserve">Jinja2 HTML, WeasyPrint PDF, STIX 2.1 bundle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7B83"/>
                <w:sz w:val="22"/>
                <w:szCs w:val="22"/>
              </w:rPr>
              <w:t xml:space="preserve">Phase 5</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Integration &amp; Hardening</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2"/>
                <w:szCs w:val="22"/>
              </w:rPr>
              <w:t xml:space="preserve">End-to-end tests, injection hardening, rate-limit compliance</w:t>
            </w:r>
          </w:p>
        </w:tc>
      </w:tr>
    </w:tbl>
    <w:p>
      <w:pPr>
        <w:spacing w:after="120" w:before="0"/>
      </w:pPr>
      <w:r>
        <w:t xml:space="preserve"/>
      </w:r>
    </w:p>
    <w:p>
      <w:pPr>
        <w:spacing w:after="100" w:before="80"/>
        <w:jc w:val="both"/>
      </w:pPr>
      <w:r>
        <w:rPr>
          <w:rFonts w:ascii="Arial" w:cs="Arial" w:eastAsia="Arial" w:hAnsi="Arial"/>
          <w:color w:val="333333"/>
          <w:sz w:val="22"/>
          <w:szCs w:val="22"/>
        </w:rPr>
        <w:t xml:space="preserve">Upon full delivery, the platform is expected to achieve the following measurable outcomes:</w:t>
      </w:r>
    </w:p>
    <w:p>
      <w:pPr>
        <w:spacing w:after="120" w:before="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Reduction in per-investigation attribution time from hours to under 15 minutes for standard cases</w:t>
      </w:r>
    </w:p>
    <w:p>
      <w:pPr>
        <w:pStyle w:val="ListParagraph"/>
        <w:numPr>
          <w:ilvl w:val="0"/>
          <w:numId w:val="2"/>
        </w:numPr>
        <w:spacing w:after="60" w:before="60"/>
      </w:pPr>
      <w:r>
        <w:rPr>
          <w:rFonts w:ascii="Arial" w:cs="Arial" w:eastAsia="Arial" w:hAnsi="Arial"/>
          <w:b w:val="false"/>
          <w:bCs w:val="false"/>
          <w:color w:val="333333"/>
          <w:sz w:val="22"/>
          <w:szCs w:val="22"/>
        </w:rPr>
        <w:t xml:space="preserve">Consistent, quantified confidence scores eliminating analyst subjectivity</w:t>
      </w:r>
    </w:p>
    <w:p>
      <w:pPr>
        <w:pStyle w:val="ListParagraph"/>
        <w:numPr>
          <w:ilvl w:val="0"/>
          <w:numId w:val="2"/>
        </w:numPr>
        <w:spacing w:after="60" w:before="60"/>
      </w:pPr>
      <w:r>
        <w:rPr>
          <w:rFonts w:ascii="Arial" w:cs="Arial" w:eastAsia="Arial" w:hAnsi="Arial"/>
          <w:b w:val="false"/>
          <w:bCs w:val="false"/>
          <w:color w:val="333333"/>
          <w:sz w:val="22"/>
          <w:szCs w:val="22"/>
        </w:rPr>
        <w:t xml:space="preserve">Full chain-of-custody audit trail meeting legal admissibility standards</w:t>
      </w:r>
    </w:p>
    <w:p>
      <w:pPr>
        <w:pStyle w:val="ListParagraph"/>
        <w:numPr>
          <w:ilvl w:val="0"/>
          <w:numId w:val="2"/>
        </w:numPr>
        <w:spacing w:after="60" w:before="60"/>
      </w:pPr>
      <w:r>
        <w:rPr>
          <w:rFonts w:ascii="Arial" w:cs="Arial" w:eastAsia="Arial" w:hAnsi="Arial"/>
          <w:b w:val="false"/>
          <w:bCs w:val="false"/>
          <w:color w:val="333333"/>
          <w:sz w:val="22"/>
          <w:szCs w:val="22"/>
        </w:rPr>
        <w:t xml:space="preserve">Coverage of 400+ platforms through Sherlock/Maigret parallel enumeration</w:t>
      </w:r>
    </w:p>
    <w:p>
      <w:pPr>
        <w:pStyle w:val="ListParagraph"/>
        <w:numPr>
          <w:ilvl w:val="0"/>
          <w:numId w:val="2"/>
        </w:numPr>
        <w:spacing w:after="60" w:before="60"/>
      </w:pPr>
      <w:r>
        <w:rPr>
          <w:rFonts w:ascii="Arial" w:cs="Arial" w:eastAsia="Arial" w:hAnsi="Arial"/>
          <w:b w:val="false"/>
          <w:bCs w:val="false"/>
          <w:color w:val="333333"/>
          <w:sz w:val="22"/>
          <w:szCs w:val="22"/>
        </w:rPr>
        <w:t xml:space="preserve">STIX 2.1 output enabling direct ingestion into enterprise SIEM and CTI platforms</w:t>
      </w:r>
    </w:p>
    <w:p>
      <w:pPr>
        <w:pStyle w:val="ListParagraph"/>
        <w:numPr>
          <w:ilvl w:val="0"/>
          <w:numId w:val="2"/>
        </w:numPr>
        <w:spacing w:after="60" w:before="60"/>
      </w:pPr>
      <w:r>
        <w:rPr>
          <w:rFonts w:ascii="Arial" w:cs="Arial" w:eastAsia="Arial" w:hAnsi="Arial"/>
          <w:b w:val="false"/>
          <w:bCs w:val="false"/>
          <w:color w:val="333333"/>
          <w:sz w:val="22"/>
          <w:szCs w:val="22"/>
        </w:rPr>
        <w:t xml:space="preserve">85% or greater test line coverage with zero ruff linting violations</w:t>
      </w:r>
    </w:p>
    <w:p>
      <w:pPr>
        <w:pStyle w:val="ListParagraph"/>
        <w:numPr>
          <w:ilvl w:val="0"/>
          <w:numId w:val="2"/>
        </w:numPr>
        <w:spacing w:after="60" w:before="60"/>
      </w:pPr>
      <w:r>
        <w:rPr>
          <w:rFonts w:ascii="Arial" w:cs="Arial" w:eastAsia="Arial" w:hAnsi="Arial"/>
          <w:b w:val="false"/>
          <w:bCs w:val="false"/>
          <w:color w:val="333333"/>
          <w:sz w:val="22"/>
          <w:szCs w:val="22"/>
        </w:rPr>
        <w:t xml:space="preserve">Complete compliance with passive OSINT constraints — no credential stuffing, no active exploitation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0F4F5" w:val="clear"/>
            <w:tcMar>
              <w:top w:type="dxa" w:w="160"/>
              <w:left w:type="dxa" w:w="240"/>
              <w:bottom w:type="dxa" w:w="160"/>
              <w:right w:type="dxa" w:w="240"/>
            </w:tcMar>
          </w:tcPr>
          <w:p>
            <w:pPr>
              <w:spacing w:after="80" w:before="0"/>
            </w:pPr>
            <w:r>
              <w:rPr>
                <w:rFonts w:ascii="Arial" w:cs="Arial" w:eastAsia="Arial" w:hAnsi="Arial"/>
                <w:b/>
                <w:bCs/>
                <w:color w:val="007B83"/>
                <w:sz w:val="22"/>
                <w:szCs w:val="22"/>
              </w:rPr>
              <w:t xml:space="preserve">Quality Standards</w:t>
            </w:r>
          </w:p>
          <w:p>
            <w:pPr>
              <w:pStyle w:val="ListParagraph"/>
              <w:numPr>
                <w:ilvl w:val="0"/>
                <w:numId w:val="2"/>
              </w:numPr>
              <w:spacing w:after="40" w:before="40"/>
            </w:pPr>
            <w:r>
              <w:rPr>
                <w:rFonts w:ascii="Arial" w:cs="Arial" w:eastAsia="Arial" w:hAnsi="Arial"/>
                <w:color w:val="333333"/>
                <w:sz w:val="21"/>
                <w:szCs w:val="21"/>
              </w:rPr>
              <w:t xml:space="preserve">Type annotations enforced via mypy --strict in CI pipeline</w:t>
            </w:r>
          </w:p>
          <w:p>
            <w:pPr>
              <w:pStyle w:val="ListParagraph"/>
              <w:numPr>
                <w:ilvl w:val="0"/>
                <w:numId w:val="2"/>
              </w:numPr>
              <w:spacing w:after="40" w:before="40"/>
            </w:pPr>
            <w:r>
              <w:rPr>
                <w:rFonts w:ascii="Arial" w:cs="Arial" w:eastAsia="Arial" w:hAnsi="Arial"/>
                <w:color w:val="333333"/>
                <w:sz w:val="21"/>
                <w:szCs w:val="21"/>
              </w:rPr>
              <w:t xml:space="preserve">Zero ruff linting violations with pre-commit hooks</w:t>
            </w:r>
          </w:p>
          <w:p>
            <w:pPr>
              <w:pStyle w:val="ListParagraph"/>
              <w:numPr>
                <w:ilvl w:val="0"/>
                <w:numId w:val="2"/>
              </w:numPr>
              <w:spacing w:after="40" w:before="40"/>
            </w:pPr>
            <w:r>
              <w:rPr>
                <w:rFonts w:ascii="Arial" w:cs="Arial" w:eastAsia="Arial" w:hAnsi="Arial"/>
                <w:color w:val="333333"/>
                <w:sz w:val="21"/>
                <w:szCs w:val="21"/>
              </w:rPr>
              <w:t xml:space="preserve">Test coverage at or above 85% via pytest --cov</w:t>
            </w:r>
          </w:p>
          <w:p>
            <w:pPr>
              <w:pStyle w:val="ListParagraph"/>
              <w:numPr>
                <w:ilvl w:val="0"/>
                <w:numId w:val="2"/>
              </w:numPr>
              <w:spacing w:after="40" w:before="40"/>
            </w:pPr>
            <w:r>
              <w:rPr>
                <w:rFonts w:ascii="Arial" w:cs="Arial" w:eastAsia="Arial" w:hAnsi="Arial"/>
                <w:color w:val="333333"/>
                <w:sz w:val="21"/>
                <w:szCs w:val="21"/>
              </w:rPr>
              <w:t xml:space="preserve">Google-style docstrings on all public APIs</w:t>
            </w:r>
          </w:p>
          <w:p>
            <w:pPr>
              <w:pStyle w:val="ListParagraph"/>
              <w:numPr>
                <w:ilvl w:val="0"/>
                <w:numId w:val="2"/>
              </w:numPr>
              <w:spacing w:after="40" w:before="40"/>
            </w:pPr>
            <w:r>
              <w:rPr>
                <w:rFonts w:ascii="Arial" w:cs="Arial" w:eastAsia="Arial" w:hAnsi="Arial"/>
                <w:color w:val="333333"/>
                <w:sz w:val="21"/>
                <w:szCs w:val="21"/>
              </w:rPr>
              <w:t xml:space="preserve">Dependency pinning via pip-compile requirements.lock</w:t>
            </w:r>
          </w:p>
          <w:p>
            <w:pPr>
              <w:pStyle w:val="ListParagraph"/>
              <w:numPr>
                <w:ilvl w:val="0"/>
                <w:numId w:val="2"/>
              </w:numPr>
              <w:spacing w:after="40" w:before="40"/>
            </w:pPr>
            <w:r>
              <w:rPr>
                <w:rFonts w:ascii="Arial" w:cs="Arial" w:eastAsia="Arial" w:hAnsi="Arial"/>
                <w:color w:val="333333"/>
                <w:sz w:val="21"/>
                <w:szCs w:val="21"/>
              </w:rPr>
              <w:t xml:space="preserve">Secrets scanning via git-secrets pre-commit hook</w:t>
            </w:r>
          </w:p>
        </w:tc>
      </w:tr>
    </w:tbl>
    <w:p>
      <w:pPr>
        <w:spacing w:after="240" w:before="0"/>
      </w:pPr>
      <w:r>
        <w:t xml:space="preserve"/>
      </w:r>
    </w:p>
    <w:p>
      <w:pPr>
        <w:pStyle w:val="Heading1"/>
        <w:pBdr>
          <w:bottom w:val="single" w:color="007B83" w:sz="8" w:space="4"/>
        </w:pBdr>
        <w:spacing w:after="160" w:before="360"/>
      </w:pPr>
      <w:r>
        <w:rPr>
          <w:rFonts w:ascii="Arial" w:cs="Arial" w:eastAsia="Arial" w:hAnsi="Arial"/>
          <w:b/>
          <w:bCs/>
          <w:color w:val="007B83"/>
          <w:sz w:val="36"/>
          <w:szCs w:val="36"/>
        </w:rPr>
        <w:t xml:space="preserve">6. Project Team</w:t>
      </w:r>
    </w:p>
    <w:p>
      <w:pPr>
        <w:spacing w:after="100" w:before="80"/>
        <w:jc w:val="both"/>
      </w:pPr>
      <w:r>
        <w:rPr>
          <w:rFonts w:ascii="Arial" w:cs="Arial" w:eastAsia="Arial" w:hAnsi="Arial"/>
          <w:color w:val="333333"/>
          <w:sz w:val="22"/>
          <w:szCs w:val="22"/>
        </w:rPr>
        <w:t xml:space="preserve">The following individuals constitute the project team for CSCD Group 2, Capstone Program, IIT Kanpur / TalentSprint: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007B83" w:val="clear"/>
            <w:tcMar>
              <w:top w:type="dxa" w:w="80"/>
              <w:left w:type="dxa" w:w="120"/>
              <w:bottom w:type="dxa" w:w="80"/>
              <w:right w:type="dxa" w:w="120"/>
            </w:tcMar>
          </w:tcPr>
          <w:p>
            <w:r>
              <w:rPr>
                <w:rFonts w:ascii="Arial" w:cs="Arial" w:eastAsia="Arial" w:hAnsi="Arial"/>
                <w:b/>
                <w:bCs/>
                <w:color w:val="FFFFFF"/>
                <w:sz w:val="22"/>
                <w:szCs w:val="22"/>
              </w:rPr>
              <w:t xml:space="preserve">No.</w:t>
            </w:r>
          </w:p>
        </w:tc>
        <w:tc>
          <w:tcPr>
            <w:tcW w:type="dxa" w:w="8160"/>
            <w:tcBorders>
              <w:top w:val="single" w:color="CCCCCC" w:sz="1"/>
              <w:left w:val="single" w:color="CCCCCC" w:sz="1"/>
              <w:bottom w:val="single" w:color="CCCCCC" w:sz="1"/>
              <w:right w:val="single" w:color="CCCCCC" w:sz="1"/>
            </w:tcBorders>
            <w:shd w:fill="007B83" w:val="clear"/>
            <w:tcMar>
              <w:top w:type="dxa" w:w="80"/>
              <w:left w:type="dxa" w:w="120"/>
              <w:bottom w:type="dxa" w:w="80"/>
              <w:right w:type="dxa" w:w="120"/>
            </w:tcMar>
          </w:tcPr>
          <w:p>
            <w:r>
              <w:rPr>
                <w:rFonts w:ascii="Arial" w:cs="Arial" w:eastAsia="Arial" w:hAnsi="Arial"/>
                <w:b/>
                <w:bCs/>
                <w:color w:val="FFFFFF"/>
                <w:sz w:val="22"/>
                <w:szCs w:val="22"/>
              </w:rPr>
              <w:t xml:space="preserve">Name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007B83"/>
                <w:sz w:val="22"/>
                <w:szCs w:val="22"/>
              </w:rPr>
              <w:t xml:space="preserve">01</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C Gunasekaran (Guna)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7B83"/>
                <w:sz w:val="22"/>
                <w:szCs w:val="22"/>
              </w:rPr>
              <w:t xml:space="preserve">02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Dr. Kanti Singh Sangher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007B83"/>
                <w:sz w:val="22"/>
                <w:szCs w:val="22"/>
              </w:rPr>
              <w:t xml:space="preserve">03</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Rekha Saraswat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7B83"/>
                <w:sz w:val="22"/>
                <w:szCs w:val="22"/>
              </w:rPr>
              <w:t xml:space="preserve">04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Vindya Narsian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007B83"/>
                <w:sz w:val="22"/>
                <w:szCs w:val="22"/>
              </w:rPr>
              <w:t xml:space="preserve">05</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Soumo Dutta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7B83"/>
                <w:sz w:val="22"/>
                <w:szCs w:val="22"/>
              </w:rPr>
              <w:t xml:space="preserve">06</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Dhayanidhi Rajasekaran (Dhaya)</w:t>
            </w:r>
          </w:p>
        </w:tc>
      </w:tr>
    </w:tbl>
    <w:p>
      <w:pPr>
        <w:spacing w:after="240" w:before="0"/>
      </w:pPr>
      <w:r>
        <w:t xml:space="preserve"/>
      </w:r>
    </w:p>
    <w:p>
      <w:pPr>
        <w:pBdr>
          <w:top w:val="single" w:color="007B83" w:sz="4" w:space="8"/>
        </w:pBdr>
        <w:spacing w:after="0" w:before="240"/>
        <w:jc w:val="center"/>
      </w:pPr>
      <w:r>
        <w:rPr>
          <w:rFonts w:ascii="Arial" w:cs="Arial" w:eastAsia="Arial" w:hAnsi="Arial"/>
          <w:i/>
          <w:iCs/>
          <w:color w:val="888888"/>
          <w:sz w:val="18"/>
          <w:szCs w:val="18"/>
        </w:rPr>
        <w:t xml:space="preserve">Ghost Identity Hunter  ·  CSCD Group 2  ·  Capstone Program  ·  Version 2.0  ·  June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7B83"/>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2026-06-07T08:41:39.615Z</dcterms:created>
  <dcterms:modified xsi:type="dcterms:W3CDTF">2026-06-07T08:41:39.616Z</dcterms:modified>
</cp:coreProperties>
</file>

<file path=docProps/custom.xml><?xml version="1.0" encoding="utf-8"?>
<Properties xmlns="http://schemas.openxmlformats.org/officeDocument/2006/custom-properties" xmlns:vt="http://schemas.openxmlformats.org/officeDocument/2006/docPropsVTypes"/>
</file>