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88FDD" w14:textId="38CC907F" w:rsidR="00C450D5" w:rsidRDefault="00C450D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              </w:t>
      </w:r>
      <w:r w:rsidRPr="00C450D5">
        <w:rPr>
          <w:b/>
          <w:bCs/>
          <w:sz w:val="36"/>
          <w:szCs w:val="36"/>
        </w:rPr>
        <w:t>Business Insights</w:t>
      </w:r>
    </w:p>
    <w:p w14:paraId="4067B200" w14:textId="77777777" w:rsidR="00C450D5" w:rsidRDefault="00C450D5">
      <w:pPr>
        <w:rPr>
          <w:b/>
          <w:bCs/>
          <w:sz w:val="36"/>
          <w:szCs w:val="36"/>
        </w:rPr>
      </w:pPr>
    </w:p>
    <w:p w14:paraId="44C2F471" w14:textId="77777777" w:rsidR="00C450D5" w:rsidRPr="00C450D5" w:rsidRDefault="00C450D5" w:rsidP="00C450D5">
      <w:pPr>
        <w:rPr>
          <w:sz w:val="28"/>
          <w:szCs w:val="28"/>
        </w:rPr>
      </w:pPr>
      <w:r w:rsidRPr="00C450D5">
        <w:rPr>
          <w:sz w:val="28"/>
          <w:szCs w:val="28"/>
        </w:rPr>
        <w:t>Business Insights</w:t>
      </w:r>
    </w:p>
    <w:p w14:paraId="06287356" w14:textId="77777777" w:rsidR="00C450D5" w:rsidRPr="00C450D5" w:rsidRDefault="00C450D5" w:rsidP="00C450D5">
      <w:pPr>
        <w:rPr>
          <w:sz w:val="28"/>
          <w:szCs w:val="28"/>
        </w:rPr>
      </w:pPr>
    </w:p>
    <w:p w14:paraId="58DD6D60" w14:textId="77777777" w:rsidR="00C450D5" w:rsidRPr="00C450D5" w:rsidRDefault="00C450D5" w:rsidP="00C450D5">
      <w:pPr>
        <w:rPr>
          <w:sz w:val="28"/>
          <w:szCs w:val="28"/>
        </w:rPr>
      </w:pPr>
      <w:r w:rsidRPr="00C450D5">
        <w:rPr>
          <w:sz w:val="28"/>
          <w:szCs w:val="28"/>
        </w:rPr>
        <w:t>1. The West region generated the highest sales among all regions, indicating strong business performance in that market.</w:t>
      </w:r>
    </w:p>
    <w:p w14:paraId="41B9F27D" w14:textId="77777777" w:rsidR="00C450D5" w:rsidRPr="00C450D5" w:rsidRDefault="00C450D5" w:rsidP="00C450D5">
      <w:pPr>
        <w:rPr>
          <w:sz w:val="28"/>
          <w:szCs w:val="28"/>
        </w:rPr>
      </w:pPr>
    </w:p>
    <w:p w14:paraId="15986D7E" w14:textId="77777777" w:rsidR="00C450D5" w:rsidRPr="00C450D5" w:rsidRDefault="00C450D5" w:rsidP="00C450D5">
      <w:pPr>
        <w:rPr>
          <w:sz w:val="28"/>
          <w:szCs w:val="28"/>
        </w:rPr>
      </w:pPr>
      <w:r w:rsidRPr="00C450D5">
        <w:rPr>
          <w:sz w:val="28"/>
          <w:szCs w:val="28"/>
        </w:rPr>
        <w:t>2. Technology was the highest-performing product category, contributing the largest share of total sales compared to Furniture and Office Supplies.</w:t>
      </w:r>
    </w:p>
    <w:p w14:paraId="13AD4A93" w14:textId="77777777" w:rsidR="00C450D5" w:rsidRPr="00C450D5" w:rsidRDefault="00C450D5" w:rsidP="00C450D5">
      <w:pPr>
        <w:rPr>
          <w:sz w:val="28"/>
          <w:szCs w:val="28"/>
        </w:rPr>
      </w:pPr>
    </w:p>
    <w:p w14:paraId="7A12AE09" w14:textId="77777777" w:rsidR="00C450D5" w:rsidRPr="00C450D5" w:rsidRDefault="00C450D5" w:rsidP="00C450D5">
      <w:pPr>
        <w:rPr>
          <w:sz w:val="28"/>
          <w:szCs w:val="28"/>
        </w:rPr>
      </w:pPr>
      <w:r w:rsidRPr="00C450D5">
        <w:rPr>
          <w:sz w:val="28"/>
          <w:szCs w:val="28"/>
        </w:rPr>
        <w:t>3. Monthly sales showed fluctuations throughout the year, suggesting seasonal demand patterns and opportunities for better inventory planning.</w:t>
      </w:r>
    </w:p>
    <w:p w14:paraId="39AB77CC" w14:textId="77777777" w:rsidR="00C450D5" w:rsidRPr="00C450D5" w:rsidRDefault="00C450D5" w:rsidP="00C450D5">
      <w:pPr>
        <w:rPr>
          <w:sz w:val="28"/>
          <w:szCs w:val="28"/>
        </w:rPr>
      </w:pPr>
    </w:p>
    <w:p w14:paraId="4563FAF5" w14:textId="021F8F93" w:rsidR="00C450D5" w:rsidRPr="00C450D5" w:rsidRDefault="00C450D5" w:rsidP="00C450D5">
      <w:pPr>
        <w:rPr>
          <w:sz w:val="28"/>
          <w:szCs w:val="28"/>
        </w:rPr>
      </w:pPr>
      <w:r w:rsidRPr="00C450D5">
        <w:rPr>
          <w:sz w:val="28"/>
          <w:szCs w:val="28"/>
        </w:rPr>
        <w:t>4. The interactive Region slicer enables users to compare sales performance across different regions, helping identify high-performing and low-performing markets for better decision-making.</w:t>
      </w:r>
    </w:p>
    <w:sectPr w:rsidR="00C450D5" w:rsidRPr="00C450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0D5"/>
    <w:rsid w:val="00087912"/>
    <w:rsid w:val="00C45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B0CB9"/>
  <w15:chartTrackingRefBased/>
  <w15:docId w15:val="{75B604C6-C261-4669-AF8D-AE7226D10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50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0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0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0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0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0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0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0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0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0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0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0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0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0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0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0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0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0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0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0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0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0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50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0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0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0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0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0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0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101</Words>
  <Characters>580</Characters>
  <Application>Microsoft Office Word</Application>
  <DocSecurity>0</DocSecurity>
  <Lines>4</Lines>
  <Paragraphs>1</Paragraphs>
  <ScaleCrop>false</ScaleCrop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Dhaygude</dc:creator>
  <cp:keywords/>
  <dc:description/>
  <cp:lastModifiedBy>Sakshi Dhaygude</cp:lastModifiedBy>
  <cp:revision>1</cp:revision>
  <dcterms:created xsi:type="dcterms:W3CDTF">2026-07-10T08:59:00Z</dcterms:created>
  <dcterms:modified xsi:type="dcterms:W3CDTF">2026-07-10T09:00:00Z</dcterms:modified>
</cp:coreProperties>
</file>