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84DDEE" w14:textId="77777777" w:rsidR="00685B65" w:rsidRDefault="00685B65">
      <w:pPr>
        <w:contextualSpacing w:val="0"/>
        <w:jc w:val="center"/>
        <w:rPr>
          <w:rFonts w:ascii="Times New Roman" w:eastAsia="Times New Roman" w:hAnsi="Times New Roman" w:cs="Times New Roman"/>
          <w:sz w:val="24"/>
          <w:szCs w:val="24"/>
        </w:rPr>
      </w:pPr>
    </w:p>
    <w:p w14:paraId="7542B911" w14:textId="77777777" w:rsidR="00685B65" w:rsidRDefault="00685B65">
      <w:pPr>
        <w:contextualSpacing w:val="0"/>
        <w:jc w:val="center"/>
        <w:rPr>
          <w:rFonts w:ascii="Times New Roman" w:eastAsia="Times New Roman" w:hAnsi="Times New Roman" w:cs="Times New Roman"/>
          <w:sz w:val="24"/>
          <w:szCs w:val="24"/>
        </w:rPr>
      </w:pPr>
    </w:p>
    <w:p w14:paraId="1BC2B791" w14:textId="77777777" w:rsidR="00685B65" w:rsidRDefault="00685B65">
      <w:pPr>
        <w:contextualSpacing w:val="0"/>
        <w:jc w:val="center"/>
        <w:rPr>
          <w:rFonts w:ascii="Times New Roman" w:eastAsia="Times New Roman" w:hAnsi="Times New Roman" w:cs="Times New Roman"/>
          <w:sz w:val="24"/>
          <w:szCs w:val="24"/>
        </w:rPr>
      </w:pPr>
    </w:p>
    <w:p w14:paraId="1808E8DB" w14:textId="77777777" w:rsidR="00685B65" w:rsidRDefault="00685B65">
      <w:pPr>
        <w:contextualSpacing w:val="0"/>
        <w:rPr>
          <w:rFonts w:ascii="Times New Roman" w:eastAsia="Times New Roman" w:hAnsi="Times New Roman" w:cs="Times New Roman"/>
          <w:sz w:val="24"/>
          <w:szCs w:val="24"/>
        </w:rPr>
      </w:pPr>
    </w:p>
    <w:p w14:paraId="28D9CF5C" w14:textId="77777777" w:rsidR="00685B65" w:rsidRDefault="00685B65">
      <w:pPr>
        <w:contextualSpacing w:val="0"/>
        <w:jc w:val="center"/>
        <w:rPr>
          <w:rFonts w:ascii="Times New Roman" w:eastAsia="Times New Roman" w:hAnsi="Times New Roman" w:cs="Times New Roman"/>
          <w:sz w:val="24"/>
          <w:szCs w:val="24"/>
        </w:rPr>
      </w:pPr>
    </w:p>
    <w:p w14:paraId="46F4BFEF" w14:textId="77777777" w:rsidR="00685B65" w:rsidRDefault="00685B65">
      <w:pPr>
        <w:contextualSpacing w:val="0"/>
        <w:jc w:val="center"/>
        <w:rPr>
          <w:rFonts w:ascii="Times New Roman" w:eastAsia="Times New Roman" w:hAnsi="Times New Roman" w:cs="Times New Roman"/>
          <w:sz w:val="48"/>
          <w:szCs w:val="48"/>
          <w:highlight w:val="yellow"/>
        </w:rPr>
      </w:pPr>
    </w:p>
    <w:p w14:paraId="3674008D" w14:textId="77777777" w:rsidR="00685B65" w:rsidRDefault="00685B65">
      <w:pPr>
        <w:contextualSpacing w:val="0"/>
        <w:jc w:val="center"/>
        <w:rPr>
          <w:rFonts w:ascii="Times New Roman" w:eastAsia="Times New Roman" w:hAnsi="Times New Roman" w:cs="Times New Roman"/>
          <w:sz w:val="24"/>
          <w:szCs w:val="24"/>
        </w:rPr>
      </w:pPr>
    </w:p>
    <w:p w14:paraId="1B45FB10" w14:textId="77777777" w:rsidR="00685B65" w:rsidRDefault="00685B65">
      <w:pPr>
        <w:contextualSpacing w:val="0"/>
        <w:jc w:val="center"/>
        <w:rPr>
          <w:rFonts w:ascii="Times New Roman" w:eastAsia="Times New Roman" w:hAnsi="Times New Roman" w:cs="Times New Roman"/>
          <w:sz w:val="24"/>
          <w:szCs w:val="24"/>
        </w:rPr>
      </w:pPr>
    </w:p>
    <w:p w14:paraId="66BD667B" w14:textId="77777777" w:rsidR="00685B65" w:rsidRDefault="00685B65">
      <w:pPr>
        <w:contextualSpacing w:val="0"/>
        <w:jc w:val="center"/>
        <w:rPr>
          <w:rFonts w:ascii="Times New Roman" w:eastAsia="Times New Roman" w:hAnsi="Times New Roman" w:cs="Times New Roman"/>
          <w:sz w:val="24"/>
          <w:szCs w:val="24"/>
        </w:rPr>
      </w:pPr>
    </w:p>
    <w:p w14:paraId="0B117C71" w14:textId="77777777" w:rsidR="00685B65" w:rsidRDefault="00685B65">
      <w:pPr>
        <w:contextualSpacing w:val="0"/>
        <w:jc w:val="center"/>
        <w:rPr>
          <w:rFonts w:ascii="Times New Roman" w:eastAsia="Times New Roman" w:hAnsi="Times New Roman" w:cs="Times New Roman"/>
          <w:sz w:val="24"/>
          <w:szCs w:val="24"/>
        </w:rPr>
      </w:pPr>
    </w:p>
    <w:p w14:paraId="38DFA2EA" w14:textId="77777777" w:rsidR="00685B65" w:rsidRDefault="00685B65">
      <w:pPr>
        <w:contextualSpacing w:val="0"/>
        <w:jc w:val="center"/>
        <w:rPr>
          <w:rFonts w:ascii="Times New Roman" w:eastAsia="Times New Roman" w:hAnsi="Times New Roman" w:cs="Times New Roman"/>
          <w:sz w:val="24"/>
          <w:szCs w:val="24"/>
        </w:rPr>
      </w:pPr>
    </w:p>
    <w:p w14:paraId="7679B6C2" w14:textId="77777777" w:rsidR="00685B65" w:rsidRDefault="000007BD">
      <w:pPr>
        <w:contextualSpacing w:val="0"/>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Average Well Depth </w:t>
      </w:r>
      <w:proofErr w:type="gramStart"/>
      <w:r>
        <w:rPr>
          <w:rFonts w:ascii="Times New Roman" w:eastAsia="Times New Roman" w:hAnsi="Times New Roman" w:cs="Times New Roman"/>
          <w:b/>
          <w:sz w:val="48"/>
          <w:szCs w:val="48"/>
        </w:rPr>
        <w:t>By</w:t>
      </w:r>
      <w:proofErr w:type="gramEnd"/>
      <w:r>
        <w:rPr>
          <w:rFonts w:ascii="Times New Roman" w:eastAsia="Times New Roman" w:hAnsi="Times New Roman" w:cs="Times New Roman"/>
          <w:b/>
          <w:sz w:val="48"/>
          <w:szCs w:val="48"/>
        </w:rPr>
        <w:t xml:space="preserve"> Month:</w:t>
      </w:r>
    </w:p>
    <w:p w14:paraId="366522D1" w14:textId="77777777" w:rsidR="00685B65" w:rsidRDefault="000007BD">
      <w:pPr>
        <w:contextualSpacing w:val="0"/>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Time Series Analysis</w:t>
      </w:r>
    </w:p>
    <w:p w14:paraId="60F58CF5" w14:textId="77777777" w:rsidR="00685B65" w:rsidRDefault="00685B65">
      <w:pPr>
        <w:contextualSpacing w:val="0"/>
        <w:jc w:val="center"/>
        <w:rPr>
          <w:rFonts w:ascii="Times New Roman" w:eastAsia="Times New Roman" w:hAnsi="Times New Roman" w:cs="Times New Roman"/>
          <w:sz w:val="24"/>
          <w:szCs w:val="24"/>
        </w:rPr>
      </w:pPr>
    </w:p>
    <w:p w14:paraId="472D7576" w14:textId="77777777" w:rsidR="00685B65" w:rsidRDefault="00685B65">
      <w:pPr>
        <w:contextualSpacing w:val="0"/>
        <w:jc w:val="center"/>
        <w:rPr>
          <w:rFonts w:ascii="Times New Roman" w:eastAsia="Times New Roman" w:hAnsi="Times New Roman" w:cs="Times New Roman"/>
          <w:sz w:val="24"/>
          <w:szCs w:val="24"/>
        </w:rPr>
      </w:pPr>
    </w:p>
    <w:p w14:paraId="35FFFD45" w14:textId="77777777" w:rsidR="00685B65" w:rsidRDefault="00685B65">
      <w:pPr>
        <w:contextualSpacing w:val="0"/>
        <w:jc w:val="center"/>
        <w:rPr>
          <w:rFonts w:ascii="Times New Roman" w:eastAsia="Times New Roman" w:hAnsi="Times New Roman" w:cs="Times New Roman"/>
          <w:sz w:val="24"/>
          <w:szCs w:val="24"/>
        </w:rPr>
      </w:pPr>
    </w:p>
    <w:p w14:paraId="38A40BE5" w14:textId="77777777" w:rsidR="00685B65" w:rsidRDefault="00685B65">
      <w:pPr>
        <w:contextualSpacing w:val="0"/>
        <w:jc w:val="center"/>
        <w:rPr>
          <w:rFonts w:ascii="Times New Roman" w:eastAsia="Times New Roman" w:hAnsi="Times New Roman" w:cs="Times New Roman"/>
          <w:sz w:val="24"/>
          <w:szCs w:val="24"/>
        </w:rPr>
      </w:pPr>
    </w:p>
    <w:p w14:paraId="08692324" w14:textId="77777777" w:rsidR="00685B65" w:rsidRDefault="00685B65">
      <w:pPr>
        <w:contextualSpacing w:val="0"/>
        <w:jc w:val="center"/>
        <w:rPr>
          <w:rFonts w:ascii="Times New Roman" w:eastAsia="Times New Roman" w:hAnsi="Times New Roman" w:cs="Times New Roman"/>
          <w:sz w:val="24"/>
          <w:szCs w:val="24"/>
        </w:rPr>
      </w:pPr>
    </w:p>
    <w:p w14:paraId="4475D27A" w14:textId="77777777" w:rsidR="00685B65" w:rsidRDefault="00685B65">
      <w:pPr>
        <w:contextualSpacing w:val="0"/>
        <w:jc w:val="center"/>
        <w:rPr>
          <w:rFonts w:ascii="Times New Roman" w:eastAsia="Times New Roman" w:hAnsi="Times New Roman" w:cs="Times New Roman"/>
          <w:sz w:val="24"/>
          <w:szCs w:val="24"/>
        </w:rPr>
      </w:pPr>
    </w:p>
    <w:p w14:paraId="77186736" w14:textId="77777777" w:rsidR="00685B65" w:rsidRDefault="00685B65">
      <w:pPr>
        <w:contextualSpacing w:val="0"/>
        <w:jc w:val="center"/>
        <w:rPr>
          <w:rFonts w:ascii="Times New Roman" w:eastAsia="Times New Roman" w:hAnsi="Times New Roman" w:cs="Times New Roman"/>
          <w:sz w:val="24"/>
          <w:szCs w:val="24"/>
        </w:rPr>
      </w:pPr>
    </w:p>
    <w:p w14:paraId="7E3C7B19" w14:textId="77777777" w:rsidR="00685B65" w:rsidRDefault="00685B65">
      <w:pPr>
        <w:contextualSpacing w:val="0"/>
        <w:jc w:val="center"/>
        <w:rPr>
          <w:rFonts w:ascii="Times New Roman" w:eastAsia="Times New Roman" w:hAnsi="Times New Roman" w:cs="Times New Roman"/>
          <w:sz w:val="24"/>
          <w:szCs w:val="24"/>
        </w:rPr>
      </w:pPr>
    </w:p>
    <w:p w14:paraId="714B7147" w14:textId="77777777" w:rsidR="00685B65" w:rsidRDefault="00685B65">
      <w:pPr>
        <w:contextualSpacing w:val="0"/>
        <w:jc w:val="center"/>
        <w:rPr>
          <w:rFonts w:ascii="Times New Roman" w:eastAsia="Times New Roman" w:hAnsi="Times New Roman" w:cs="Times New Roman"/>
          <w:sz w:val="24"/>
          <w:szCs w:val="24"/>
        </w:rPr>
      </w:pPr>
    </w:p>
    <w:p w14:paraId="7645B317" w14:textId="77777777" w:rsidR="00685B65" w:rsidRDefault="00685B65">
      <w:pPr>
        <w:contextualSpacing w:val="0"/>
        <w:jc w:val="center"/>
        <w:rPr>
          <w:rFonts w:ascii="Times New Roman" w:eastAsia="Times New Roman" w:hAnsi="Times New Roman" w:cs="Times New Roman"/>
          <w:sz w:val="24"/>
          <w:szCs w:val="24"/>
        </w:rPr>
      </w:pPr>
    </w:p>
    <w:p w14:paraId="6AF474C3" w14:textId="77777777" w:rsidR="00685B65" w:rsidRDefault="00685B65">
      <w:pPr>
        <w:contextualSpacing w:val="0"/>
        <w:jc w:val="center"/>
        <w:rPr>
          <w:rFonts w:ascii="Times New Roman" w:eastAsia="Times New Roman" w:hAnsi="Times New Roman" w:cs="Times New Roman"/>
          <w:sz w:val="24"/>
          <w:szCs w:val="24"/>
        </w:rPr>
      </w:pPr>
    </w:p>
    <w:p w14:paraId="3F303CF9" w14:textId="77777777" w:rsidR="00685B65" w:rsidRDefault="00685B65">
      <w:pPr>
        <w:contextualSpacing w:val="0"/>
        <w:jc w:val="center"/>
        <w:rPr>
          <w:rFonts w:ascii="Times New Roman" w:eastAsia="Times New Roman" w:hAnsi="Times New Roman" w:cs="Times New Roman"/>
          <w:sz w:val="24"/>
          <w:szCs w:val="24"/>
        </w:rPr>
      </w:pPr>
    </w:p>
    <w:p w14:paraId="389FF818" w14:textId="77777777" w:rsidR="00685B65" w:rsidRDefault="00685B65">
      <w:pPr>
        <w:contextualSpacing w:val="0"/>
        <w:jc w:val="center"/>
        <w:rPr>
          <w:rFonts w:ascii="Times New Roman" w:eastAsia="Times New Roman" w:hAnsi="Times New Roman" w:cs="Times New Roman"/>
          <w:sz w:val="24"/>
          <w:szCs w:val="24"/>
        </w:rPr>
      </w:pPr>
    </w:p>
    <w:p w14:paraId="6BFD902D" w14:textId="77777777" w:rsidR="00685B65" w:rsidRDefault="00685B65">
      <w:pPr>
        <w:contextualSpacing w:val="0"/>
        <w:jc w:val="center"/>
        <w:rPr>
          <w:rFonts w:ascii="Times New Roman" w:eastAsia="Times New Roman" w:hAnsi="Times New Roman" w:cs="Times New Roman"/>
          <w:sz w:val="24"/>
          <w:szCs w:val="24"/>
        </w:rPr>
      </w:pPr>
    </w:p>
    <w:p w14:paraId="7990F7EB" w14:textId="77777777" w:rsidR="00685B65" w:rsidRDefault="00685B65">
      <w:pPr>
        <w:contextualSpacing w:val="0"/>
        <w:jc w:val="center"/>
        <w:rPr>
          <w:rFonts w:ascii="Times New Roman" w:eastAsia="Times New Roman" w:hAnsi="Times New Roman" w:cs="Times New Roman"/>
          <w:sz w:val="24"/>
          <w:szCs w:val="24"/>
        </w:rPr>
      </w:pPr>
    </w:p>
    <w:p w14:paraId="4983F007" w14:textId="77777777" w:rsidR="00685B65" w:rsidRDefault="00685B65">
      <w:pPr>
        <w:contextualSpacing w:val="0"/>
        <w:jc w:val="center"/>
        <w:rPr>
          <w:rFonts w:ascii="Times New Roman" w:eastAsia="Times New Roman" w:hAnsi="Times New Roman" w:cs="Times New Roman"/>
          <w:sz w:val="24"/>
          <w:szCs w:val="24"/>
        </w:rPr>
      </w:pPr>
    </w:p>
    <w:p w14:paraId="659C078B" w14:textId="77777777" w:rsidR="00685B65" w:rsidRDefault="00685B65">
      <w:pPr>
        <w:contextualSpacing w:val="0"/>
        <w:jc w:val="center"/>
        <w:rPr>
          <w:rFonts w:ascii="Times New Roman" w:eastAsia="Times New Roman" w:hAnsi="Times New Roman" w:cs="Times New Roman"/>
          <w:sz w:val="24"/>
          <w:szCs w:val="24"/>
        </w:rPr>
      </w:pPr>
    </w:p>
    <w:p w14:paraId="2DDA58E2" w14:textId="77777777" w:rsidR="00685B65" w:rsidRDefault="00685B65">
      <w:pPr>
        <w:contextualSpacing w:val="0"/>
        <w:jc w:val="center"/>
        <w:rPr>
          <w:rFonts w:ascii="Times New Roman" w:eastAsia="Times New Roman" w:hAnsi="Times New Roman" w:cs="Times New Roman"/>
          <w:sz w:val="24"/>
          <w:szCs w:val="24"/>
        </w:rPr>
      </w:pPr>
    </w:p>
    <w:p w14:paraId="2C909378" w14:textId="77777777" w:rsidR="00685B65" w:rsidRDefault="000007BD">
      <w:pPr>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Time Series</w:t>
      </w:r>
    </w:p>
    <w:p w14:paraId="4176335E" w14:textId="77777777" w:rsidR="00685B65" w:rsidRDefault="000007BD">
      <w:pPr>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Dr. Susan Simmons</w:t>
      </w:r>
    </w:p>
    <w:p w14:paraId="6E9D6FA4" w14:textId="77777777" w:rsidR="00685B65" w:rsidRDefault="00685B65">
      <w:pPr>
        <w:contextualSpacing w:val="0"/>
        <w:jc w:val="center"/>
        <w:rPr>
          <w:rFonts w:ascii="Times New Roman" w:eastAsia="Times New Roman" w:hAnsi="Times New Roman" w:cs="Times New Roman"/>
          <w:sz w:val="24"/>
          <w:szCs w:val="24"/>
        </w:rPr>
      </w:pPr>
    </w:p>
    <w:p w14:paraId="28D0E642" w14:textId="77777777" w:rsidR="00685B65" w:rsidRDefault="000007BD">
      <w:pPr>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Reported by: Orange Team 5</w:t>
      </w:r>
    </w:p>
    <w:p w14:paraId="711E393B" w14:textId="77777777" w:rsidR="00685B65" w:rsidRDefault="000007BD">
      <w:pPr>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Dave Hiltbrand, Liz Mao, Michael Yuan, Melissa </w:t>
      </w:r>
      <w:proofErr w:type="spellStart"/>
      <w:r>
        <w:rPr>
          <w:rFonts w:ascii="Times New Roman" w:eastAsia="Times New Roman" w:hAnsi="Times New Roman" w:cs="Times New Roman"/>
          <w:sz w:val="24"/>
          <w:szCs w:val="24"/>
        </w:rPr>
        <w:t>Sandahl</w:t>
      </w:r>
      <w:proofErr w:type="spellEnd"/>
      <w:r>
        <w:rPr>
          <w:rFonts w:ascii="Times New Roman" w:eastAsia="Times New Roman" w:hAnsi="Times New Roman" w:cs="Times New Roman"/>
          <w:sz w:val="24"/>
          <w:szCs w:val="24"/>
        </w:rPr>
        <w:t>, Ashwin Bhat</w:t>
      </w:r>
    </w:p>
    <w:p w14:paraId="2F8682AC" w14:textId="77777777" w:rsidR="00685B65" w:rsidRDefault="000007BD">
      <w:pPr>
        <w:contextualSpacing w:val="0"/>
        <w:jc w:val="center"/>
        <w:rPr>
          <w:rFonts w:ascii="Times New Roman" w:eastAsia="Times New Roman" w:hAnsi="Times New Roman" w:cs="Times New Roman"/>
          <w:b/>
          <w:sz w:val="28"/>
          <w:szCs w:val="28"/>
        </w:rPr>
      </w:pPr>
      <w:r>
        <w:br w:type="page"/>
      </w:r>
    </w:p>
    <w:p w14:paraId="564FCC3C" w14:textId="77777777" w:rsidR="00685B65" w:rsidRDefault="000007BD">
      <w:pPr>
        <w:contextualSpacing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Summary</w:t>
      </w:r>
    </w:p>
    <w:p w14:paraId="4E5B0C23" w14:textId="77777777" w:rsidR="00685B65" w:rsidRDefault="000007BD">
      <w:pPr>
        <w:contextualSpacing w:v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15ED7B9A" w14:textId="77777777" w:rsidR="00685B65" w:rsidRDefault="000007BD">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As a group of analysts, we are responsible for creating time series models for predicting the level of water (i</w:t>
      </w:r>
      <w:r>
        <w:rPr>
          <w:rFonts w:ascii="Times New Roman" w:eastAsia="Times New Roman" w:hAnsi="Times New Roman" w:cs="Times New Roman"/>
          <w:sz w:val="24"/>
          <w:szCs w:val="24"/>
        </w:rPr>
        <w:t>n feet) in the well, F-179, located near Miami, FL.  Our goal is to create a stationary time series which can later be used in a forecasting model such as Autoregressive Integrated Moving Averages (ARIMA).  Based on the results from the Augmented Dickey-Fu</w:t>
      </w:r>
      <w:r>
        <w:rPr>
          <w:rFonts w:ascii="Times New Roman" w:eastAsia="Times New Roman" w:hAnsi="Times New Roman" w:cs="Times New Roman"/>
          <w:sz w:val="24"/>
          <w:szCs w:val="24"/>
        </w:rPr>
        <w:t>ller (ADF) test with Lag 0 through 2, a significant level of evidence suggests the well is stationary.</w:t>
      </w:r>
    </w:p>
    <w:p w14:paraId="52AB711A" w14:textId="77777777" w:rsidR="00685B65" w:rsidRDefault="00685B65">
      <w:pPr>
        <w:contextualSpacing w:val="0"/>
        <w:rPr>
          <w:rFonts w:ascii="Times New Roman" w:eastAsia="Times New Roman" w:hAnsi="Times New Roman" w:cs="Times New Roman"/>
          <w:sz w:val="24"/>
          <w:szCs w:val="24"/>
        </w:rPr>
      </w:pPr>
    </w:p>
    <w:p w14:paraId="161EC817" w14:textId="6303A755" w:rsidR="00685B65" w:rsidRDefault="000007BD">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Before testing that a unit root existed, also known as </w:t>
      </w:r>
      <w:r w:rsidR="005D06F8">
        <w:rPr>
          <w:rFonts w:ascii="Times New Roman" w:eastAsia="Times New Roman" w:hAnsi="Times New Roman" w:cs="Times New Roman"/>
          <w:sz w:val="24"/>
          <w:szCs w:val="24"/>
        </w:rPr>
        <w:t>nonstationary</w:t>
      </w:r>
      <w:r>
        <w:rPr>
          <w:rFonts w:ascii="Times New Roman" w:eastAsia="Times New Roman" w:hAnsi="Times New Roman" w:cs="Times New Roman"/>
          <w:sz w:val="24"/>
          <w:szCs w:val="24"/>
        </w:rPr>
        <w:t>, we had to deal with the seasonality that was found during STL decomposition.  We</w:t>
      </w:r>
      <w:r>
        <w:rPr>
          <w:rFonts w:ascii="Times New Roman" w:eastAsia="Times New Roman" w:hAnsi="Times New Roman" w:cs="Times New Roman"/>
          <w:sz w:val="24"/>
          <w:szCs w:val="24"/>
        </w:rPr>
        <w:t xml:space="preserve"> tested the strength of the season and adjusted the series based on the results of the test.  </w:t>
      </w:r>
    </w:p>
    <w:p w14:paraId="35EEE56F" w14:textId="77777777" w:rsidR="00685B65" w:rsidRDefault="00685B65">
      <w:pPr>
        <w:contextualSpacing w:val="0"/>
        <w:rPr>
          <w:rFonts w:ascii="Times New Roman" w:eastAsia="Times New Roman" w:hAnsi="Times New Roman" w:cs="Times New Roman"/>
          <w:sz w:val="24"/>
          <w:szCs w:val="24"/>
        </w:rPr>
      </w:pPr>
    </w:p>
    <w:p w14:paraId="28E4AD51" w14:textId="77777777" w:rsidR="00685B65" w:rsidRDefault="000007BD">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Looking ahead we will be developing an ARIMA model to forecast future depths of the well.  Had we not first confirmed stationarity in our well, the results of t</w:t>
      </w:r>
      <w:r>
        <w:rPr>
          <w:rFonts w:ascii="Times New Roman" w:eastAsia="Times New Roman" w:hAnsi="Times New Roman" w:cs="Times New Roman"/>
          <w:sz w:val="24"/>
          <w:szCs w:val="24"/>
        </w:rPr>
        <w:t>he ARIMA model would have been unreliable.</w:t>
      </w:r>
    </w:p>
    <w:p w14:paraId="67D9B5AB" w14:textId="7932D54A" w:rsidR="00685B65" w:rsidRDefault="00685B65">
      <w:pPr>
        <w:contextualSpacing w:val="0"/>
        <w:rPr>
          <w:rFonts w:ascii="Times New Roman" w:eastAsia="Times New Roman" w:hAnsi="Times New Roman" w:cs="Times New Roman"/>
          <w:sz w:val="24"/>
          <w:szCs w:val="24"/>
        </w:rPr>
      </w:pPr>
    </w:p>
    <w:p w14:paraId="2E2D6C2C" w14:textId="77777777" w:rsidR="005D06F8" w:rsidRDefault="005D06F8">
      <w:pPr>
        <w:contextualSpacing w:val="0"/>
        <w:rPr>
          <w:rFonts w:ascii="Times New Roman" w:eastAsia="Times New Roman" w:hAnsi="Times New Roman" w:cs="Times New Roman"/>
          <w:sz w:val="24"/>
          <w:szCs w:val="24"/>
        </w:rPr>
      </w:pPr>
    </w:p>
    <w:p w14:paraId="261B58A2" w14:textId="77777777" w:rsidR="00685B65" w:rsidRDefault="000007BD">
      <w:pPr>
        <w:contextualSpacing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Background</w:t>
      </w:r>
    </w:p>
    <w:p w14:paraId="02240DD5" w14:textId="77777777" w:rsidR="00685B65" w:rsidRDefault="00685B65">
      <w:pPr>
        <w:contextualSpacing w:val="0"/>
        <w:jc w:val="center"/>
        <w:rPr>
          <w:rFonts w:ascii="Times New Roman" w:eastAsia="Times New Roman" w:hAnsi="Times New Roman" w:cs="Times New Roman"/>
          <w:b/>
          <w:sz w:val="28"/>
          <w:szCs w:val="28"/>
        </w:rPr>
      </w:pPr>
    </w:p>
    <w:p w14:paraId="3C3342BA" w14:textId="77777777" w:rsidR="00685B65" w:rsidRDefault="000007BD">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Our dataset is a sample of 253,925 measurements of depth in feet collected from October 1, 2007, until June 4, 2018, in intervals of fifteen minutes.  We were given information on the well depth on th</w:t>
      </w:r>
      <w:r>
        <w:rPr>
          <w:rFonts w:ascii="Times New Roman" w:eastAsia="Times New Roman" w:hAnsi="Times New Roman" w:cs="Times New Roman"/>
          <w:sz w:val="24"/>
          <w:szCs w:val="24"/>
        </w:rPr>
        <w:t>e original scale of well feet and an adjusted measurement of well feet.  We were recommended to use the adjusted variable which uses a reduction to account for a change in the standard height of the well. We reduced the dataset to 129 observations, includi</w:t>
      </w:r>
      <w:r>
        <w:rPr>
          <w:rFonts w:ascii="Times New Roman" w:eastAsia="Times New Roman" w:hAnsi="Times New Roman" w:cs="Times New Roman"/>
          <w:sz w:val="24"/>
          <w:szCs w:val="24"/>
        </w:rPr>
        <w:t>ng 123 in the training and 6 in the validation dataset by aggregating our quarter-hourly data into monthly data and computed the average depth for each month. There were 955 missing observations in our original time series data. Since the data does not con</w:t>
      </w:r>
      <w:r>
        <w:rPr>
          <w:rFonts w:ascii="Times New Roman" w:eastAsia="Times New Roman" w:hAnsi="Times New Roman" w:cs="Times New Roman"/>
          <w:sz w:val="24"/>
          <w:szCs w:val="24"/>
        </w:rPr>
        <w:t xml:space="preserve">tain any months that are completely missing, we used the average well depth for a month as our variable instead of imputing the missing values. </w:t>
      </w:r>
    </w:p>
    <w:p w14:paraId="1593A2B5" w14:textId="77777777" w:rsidR="00685B65" w:rsidRDefault="00685B65">
      <w:pPr>
        <w:contextualSpacing w:val="0"/>
        <w:rPr>
          <w:rFonts w:ascii="Times New Roman" w:eastAsia="Times New Roman" w:hAnsi="Times New Roman" w:cs="Times New Roman"/>
          <w:sz w:val="24"/>
          <w:szCs w:val="24"/>
        </w:rPr>
      </w:pPr>
    </w:p>
    <w:p w14:paraId="5BD5A8A8" w14:textId="77777777" w:rsidR="00685B65" w:rsidRDefault="000007BD">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During the data cleaning, we discovered there are negative values in the well depth variable.  Certain forecas</w:t>
      </w:r>
      <w:r>
        <w:rPr>
          <w:rFonts w:ascii="Times New Roman" w:eastAsia="Times New Roman" w:hAnsi="Times New Roman" w:cs="Times New Roman"/>
          <w:sz w:val="24"/>
          <w:szCs w:val="24"/>
        </w:rPr>
        <w:t xml:space="preserve">ting models, such as the Holt-Winter’s multiplicative model, do not allow negative values and thus would cause trouble when fitting the model. To fix this problem, we shifted the data by adding 1 to each of the observation. </w:t>
      </w:r>
    </w:p>
    <w:p w14:paraId="2EB429FF" w14:textId="77777777" w:rsidR="00685B65" w:rsidRDefault="00685B65">
      <w:pPr>
        <w:contextualSpacing w:val="0"/>
        <w:rPr>
          <w:rFonts w:ascii="Times New Roman" w:eastAsia="Times New Roman" w:hAnsi="Times New Roman" w:cs="Times New Roman"/>
          <w:sz w:val="24"/>
          <w:szCs w:val="24"/>
        </w:rPr>
      </w:pPr>
    </w:p>
    <w:p w14:paraId="50BBE3DE" w14:textId="77777777" w:rsidR="00685B65" w:rsidRDefault="000007BD">
      <w:pPr>
        <w:contextualSpacing w:val="0"/>
        <w:rPr>
          <w:rFonts w:ascii="Times New Roman" w:eastAsia="Times New Roman" w:hAnsi="Times New Roman" w:cs="Times New Roman"/>
          <w:sz w:val="20"/>
          <w:szCs w:val="20"/>
        </w:rPr>
      </w:pPr>
      <w:r>
        <w:rPr>
          <w:rFonts w:ascii="Times New Roman" w:eastAsia="Times New Roman" w:hAnsi="Times New Roman" w:cs="Times New Roman"/>
          <w:sz w:val="24"/>
          <w:szCs w:val="24"/>
        </w:rPr>
        <w:t>We ran an STL decomposition to</w:t>
      </w:r>
      <w:r>
        <w:rPr>
          <w:rFonts w:ascii="Times New Roman" w:eastAsia="Times New Roman" w:hAnsi="Times New Roman" w:cs="Times New Roman"/>
          <w:sz w:val="24"/>
          <w:szCs w:val="24"/>
        </w:rPr>
        <w:t xml:space="preserve"> determine whether seasonal and trend components were present.  Based on the results there was an annual seasonal component but virtually no trend.  In order to better forecast the well depth in the future using ARIMA model, the time series needs to be sta</w:t>
      </w:r>
      <w:r>
        <w:rPr>
          <w:rFonts w:ascii="Times New Roman" w:eastAsia="Times New Roman" w:hAnsi="Times New Roman" w:cs="Times New Roman"/>
          <w:sz w:val="24"/>
          <w:szCs w:val="24"/>
        </w:rPr>
        <w:t xml:space="preserve">tionary by modeling trend, seasonality and correlation structure. We implemented the ADF test to determine if the time series is stationary. </w:t>
      </w:r>
    </w:p>
    <w:p w14:paraId="53219962" w14:textId="77777777" w:rsidR="00685B65" w:rsidRDefault="00685B65">
      <w:pPr>
        <w:contextualSpacing w:val="0"/>
        <w:rPr>
          <w:rFonts w:ascii="Times New Roman" w:eastAsia="Times New Roman" w:hAnsi="Times New Roman" w:cs="Times New Roman"/>
          <w:b/>
          <w:sz w:val="28"/>
          <w:szCs w:val="28"/>
        </w:rPr>
      </w:pPr>
    </w:p>
    <w:p w14:paraId="4B06275B" w14:textId="77777777" w:rsidR="00685B65" w:rsidRDefault="00685B65">
      <w:pPr>
        <w:contextualSpacing w:val="0"/>
        <w:rPr>
          <w:rFonts w:ascii="Times New Roman" w:eastAsia="Times New Roman" w:hAnsi="Times New Roman" w:cs="Times New Roman"/>
          <w:b/>
          <w:sz w:val="28"/>
          <w:szCs w:val="28"/>
        </w:rPr>
      </w:pPr>
    </w:p>
    <w:p w14:paraId="232FBB58" w14:textId="1F9BAA3B" w:rsidR="005D06F8" w:rsidRDefault="005D06F8">
      <w:pPr>
        <w:contextualSpacing w:val="0"/>
        <w:jc w:val="center"/>
        <w:rPr>
          <w:rFonts w:ascii="Times New Roman" w:eastAsia="Times New Roman" w:hAnsi="Times New Roman" w:cs="Times New Roman"/>
          <w:b/>
          <w:sz w:val="28"/>
          <w:szCs w:val="28"/>
        </w:rPr>
      </w:pPr>
    </w:p>
    <w:p w14:paraId="4620B755" w14:textId="48A2A8BA" w:rsidR="00685B65" w:rsidRDefault="000007BD">
      <w:pPr>
        <w:contextualSpacing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Results</w:t>
      </w:r>
    </w:p>
    <w:p w14:paraId="70261995" w14:textId="77777777" w:rsidR="00685B65" w:rsidRDefault="00685B65">
      <w:pPr>
        <w:contextualSpacing w:val="0"/>
        <w:jc w:val="center"/>
        <w:rPr>
          <w:rFonts w:ascii="Times New Roman" w:eastAsia="Times New Roman" w:hAnsi="Times New Roman" w:cs="Times New Roman"/>
          <w:b/>
          <w:sz w:val="28"/>
          <w:szCs w:val="28"/>
        </w:rPr>
      </w:pPr>
    </w:p>
    <w:p w14:paraId="00B063F1" w14:textId="29C36D54" w:rsidR="00685B65" w:rsidRDefault="000007BD">
      <w:pPr>
        <w:contextualSpacing w:val="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sz w:val="24"/>
          <w:szCs w:val="24"/>
        </w:rPr>
        <w:t>The first step to achieve stationarity was to remove the seasonal component that had been discovered during STL decomposition.  We used the forecast R package to measure the strength of the seasonal component.  The outcome exceeded the threshold of the tes</w:t>
      </w:r>
      <w:r>
        <w:rPr>
          <w:rFonts w:ascii="Times New Roman" w:eastAsia="Times New Roman" w:hAnsi="Times New Roman" w:cs="Times New Roman"/>
          <w:sz w:val="24"/>
          <w:szCs w:val="24"/>
        </w:rPr>
        <w:t xml:space="preserve">t indicating to take a seasonal difference.  After creating the differenced time </w:t>
      </w:r>
      <w:r w:rsidR="005D06F8">
        <w:rPr>
          <w:rFonts w:ascii="Times New Roman" w:eastAsia="Times New Roman" w:hAnsi="Times New Roman" w:cs="Times New Roman"/>
          <w:sz w:val="24"/>
          <w:szCs w:val="24"/>
        </w:rPr>
        <w:t>series,</w:t>
      </w:r>
      <w:r>
        <w:rPr>
          <w:rFonts w:ascii="Times New Roman" w:eastAsia="Times New Roman" w:hAnsi="Times New Roman" w:cs="Times New Roman"/>
          <w:sz w:val="24"/>
          <w:szCs w:val="24"/>
        </w:rPr>
        <w:t xml:space="preserve"> we measured the seasonal strength a second time.  The result was below the test’s threshold indicating there was no longer a seasonal component.</w:t>
      </w:r>
    </w:p>
    <w:p w14:paraId="09F6BCF1" w14:textId="77777777" w:rsidR="00685B65" w:rsidRDefault="00685B65">
      <w:pPr>
        <w:contextualSpacing w:val="0"/>
        <w:rPr>
          <w:rFonts w:ascii="Times New Roman" w:eastAsia="Times New Roman" w:hAnsi="Times New Roman" w:cs="Times New Roman"/>
          <w:color w:val="222222"/>
          <w:sz w:val="24"/>
          <w:szCs w:val="24"/>
          <w:highlight w:val="white"/>
        </w:rPr>
      </w:pPr>
    </w:p>
    <w:p w14:paraId="59BB195B" w14:textId="77777777" w:rsidR="00685B65" w:rsidRDefault="000007BD">
      <w:pPr>
        <w:contextualSpacing w:val="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To test for stationari</w:t>
      </w:r>
      <w:r>
        <w:rPr>
          <w:rFonts w:ascii="Times New Roman" w:eastAsia="Times New Roman" w:hAnsi="Times New Roman" w:cs="Times New Roman"/>
          <w:color w:val="222222"/>
          <w:sz w:val="24"/>
          <w:szCs w:val="24"/>
          <w:highlight w:val="white"/>
        </w:rPr>
        <w:t>ty of the time series we ran the Augmented Dickey-Fuller (ADF) test.  The results gave us a p-value below a level of significance at 5% which suggested there was enough evidence to support the alternative hypothesis that the time series was stationary.</w:t>
      </w:r>
    </w:p>
    <w:p w14:paraId="79C8990D" w14:textId="77777777" w:rsidR="00685B65" w:rsidRDefault="00685B65">
      <w:pPr>
        <w:contextualSpacing w:val="0"/>
        <w:rPr>
          <w:rFonts w:ascii="Times New Roman" w:eastAsia="Times New Roman" w:hAnsi="Times New Roman" w:cs="Times New Roman"/>
          <w:color w:val="222222"/>
          <w:sz w:val="24"/>
          <w:szCs w:val="24"/>
          <w:highlight w:val="white"/>
        </w:rPr>
      </w:pPr>
    </w:p>
    <w:p w14:paraId="1FA479EA" w14:textId="77777777" w:rsidR="00685B65" w:rsidRDefault="000007BD">
      <w:pPr>
        <w:contextualSpacing w:val="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w:t>
      </w:r>
      <w:r>
        <w:rPr>
          <w:rFonts w:ascii="Times New Roman" w:eastAsia="Times New Roman" w:hAnsi="Times New Roman" w:cs="Times New Roman"/>
          <w:color w:val="222222"/>
          <w:sz w:val="24"/>
          <w:szCs w:val="24"/>
          <w:highlight w:val="white"/>
        </w:rPr>
        <w:t>e graph of the time series after achieving stationarity is in Figure 1.  Following this, Figure 2 displays the results from running the ADF test on the well times series data.  Using a lag 0, lag 1, and lag 2 we found that the well data is stationary as al</w:t>
      </w:r>
      <w:r>
        <w:rPr>
          <w:rFonts w:ascii="Times New Roman" w:eastAsia="Times New Roman" w:hAnsi="Times New Roman" w:cs="Times New Roman"/>
          <w:color w:val="222222"/>
          <w:sz w:val="24"/>
          <w:szCs w:val="24"/>
          <w:highlight w:val="white"/>
        </w:rPr>
        <w:t>l of the p-values are well below a threshold for</w:t>
      </w:r>
      <w:r>
        <w:rPr>
          <w:rFonts w:ascii="Times New Roman" w:eastAsia="Times New Roman" w:hAnsi="Times New Roman" w:cs="Times New Roman"/>
          <w:color w:val="222222"/>
          <w:sz w:val="24"/>
          <w:szCs w:val="24"/>
        </w:rPr>
        <w:t xml:space="preserve"> a level of significance at 5%</w:t>
      </w:r>
      <w:r>
        <w:rPr>
          <w:rFonts w:ascii="Times New Roman" w:eastAsia="Times New Roman" w:hAnsi="Times New Roman" w:cs="Times New Roman"/>
          <w:color w:val="222222"/>
          <w:sz w:val="24"/>
          <w:szCs w:val="24"/>
          <w:highlight w:val="white"/>
        </w:rPr>
        <w:t xml:space="preserve">. </w:t>
      </w:r>
    </w:p>
    <w:p w14:paraId="23C0E567" w14:textId="31DE4F88" w:rsidR="00685B65" w:rsidRDefault="00685B65">
      <w:pPr>
        <w:contextualSpacing w:val="0"/>
        <w:rPr>
          <w:rFonts w:ascii="Times New Roman" w:eastAsia="Times New Roman" w:hAnsi="Times New Roman" w:cs="Times New Roman"/>
          <w:color w:val="222222"/>
          <w:sz w:val="24"/>
          <w:szCs w:val="24"/>
          <w:highlight w:val="white"/>
        </w:rPr>
      </w:pPr>
    </w:p>
    <w:p w14:paraId="3A2D7550" w14:textId="27256664" w:rsidR="00685B65" w:rsidRDefault="007F77F0">
      <w:pPr>
        <w:contextualSpacing w:val="0"/>
        <w:jc w:val="center"/>
        <w:rPr>
          <w:rFonts w:ascii="Times New Roman" w:eastAsia="Times New Roman" w:hAnsi="Times New Roman" w:cs="Times New Roman"/>
          <w:sz w:val="24"/>
          <w:szCs w:val="24"/>
        </w:rPr>
      </w:pPr>
      <w:r w:rsidRPr="007F77F0">
        <w:rPr>
          <w:rFonts w:ascii="Times New Roman" w:eastAsia="Times New Roman" w:hAnsi="Times New Roman" w:cs="Times New Roman"/>
          <w:noProof/>
          <w:sz w:val="24"/>
          <w:szCs w:val="24"/>
        </w:rPr>
        <w:drawing>
          <wp:inline distT="0" distB="0" distL="0" distR="0" wp14:anchorId="11C151BD" wp14:editId="038A4410">
            <wp:extent cx="5830432" cy="4858693"/>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96356" cy="4913629"/>
                    </a:xfrm>
                    <a:prstGeom prst="rect">
                      <a:avLst/>
                    </a:prstGeom>
                  </pic:spPr>
                </pic:pic>
              </a:graphicData>
            </a:graphic>
          </wp:inline>
        </w:drawing>
      </w:r>
    </w:p>
    <w:p w14:paraId="4ED913CA" w14:textId="77777777" w:rsidR="005D06F8" w:rsidRDefault="005D06F8">
      <w:pPr>
        <w:contextualSpacing w:val="0"/>
        <w:jc w:val="center"/>
        <w:rPr>
          <w:rFonts w:ascii="Times New Roman" w:eastAsia="Times New Roman" w:hAnsi="Times New Roman" w:cs="Times New Roman"/>
          <w:sz w:val="20"/>
          <w:szCs w:val="20"/>
        </w:rPr>
      </w:pPr>
    </w:p>
    <w:p w14:paraId="7CFA502E" w14:textId="2CD6FDF3" w:rsidR="00685B65" w:rsidRDefault="000007BD">
      <w:pPr>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Figure 1.  Stationary Time Series after removing seasonal differences.</w:t>
      </w:r>
    </w:p>
    <w:p w14:paraId="29E2F7E9" w14:textId="77777777" w:rsidR="00685B65" w:rsidRDefault="00685B65">
      <w:pPr>
        <w:contextualSpacing w:val="0"/>
        <w:jc w:val="center"/>
        <w:rPr>
          <w:rFonts w:ascii="Times New Roman" w:eastAsia="Times New Roman" w:hAnsi="Times New Roman" w:cs="Times New Roman"/>
          <w:sz w:val="24"/>
          <w:szCs w:val="24"/>
        </w:rPr>
      </w:pPr>
    </w:p>
    <w:p w14:paraId="4F710619" w14:textId="77777777" w:rsidR="00685B65" w:rsidRDefault="00685B65">
      <w:pPr>
        <w:contextualSpacing w:val="0"/>
        <w:jc w:val="center"/>
        <w:rPr>
          <w:rFonts w:ascii="Times New Roman" w:eastAsia="Times New Roman" w:hAnsi="Times New Roman" w:cs="Times New Roman"/>
          <w:sz w:val="24"/>
          <w:szCs w:val="24"/>
        </w:rPr>
      </w:pPr>
    </w:p>
    <w:tbl>
      <w:tblPr>
        <w:tblStyle w:val="a"/>
        <w:tblW w:w="4530" w:type="dxa"/>
        <w:jc w:val="center"/>
        <w:tblBorders>
          <w:top w:val="nil"/>
          <w:left w:val="nil"/>
          <w:bottom w:val="nil"/>
          <w:right w:val="nil"/>
          <w:insideH w:val="nil"/>
          <w:insideV w:val="nil"/>
        </w:tblBorders>
        <w:tblLayout w:type="fixed"/>
        <w:tblLook w:val="0600" w:firstRow="0" w:lastRow="0" w:firstColumn="0" w:lastColumn="0" w:noHBand="1" w:noVBand="1"/>
      </w:tblPr>
      <w:tblGrid>
        <w:gridCol w:w="1395"/>
        <w:gridCol w:w="840"/>
        <w:gridCol w:w="1125"/>
        <w:gridCol w:w="1170"/>
      </w:tblGrid>
      <w:tr w:rsidR="00685B65" w14:paraId="6C2E6DED" w14:textId="77777777">
        <w:trPr>
          <w:trHeight w:val="300"/>
          <w:jc w:val="center"/>
        </w:trPr>
        <w:tc>
          <w:tcPr>
            <w:tcW w:w="13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03C62D" w14:textId="77777777" w:rsidR="00685B65" w:rsidRDefault="000007BD">
            <w:pPr>
              <w:widowControl w:val="0"/>
              <w:contextualSpacing w:val="0"/>
              <w:jc w:val="center"/>
              <w:rPr>
                <w:sz w:val="20"/>
                <w:szCs w:val="20"/>
              </w:rPr>
            </w:pPr>
            <w:r>
              <w:rPr>
                <w:b/>
                <w:sz w:val="20"/>
                <w:szCs w:val="20"/>
              </w:rPr>
              <w:t>Test Statistic</w:t>
            </w:r>
          </w:p>
        </w:tc>
        <w:tc>
          <w:tcPr>
            <w:tcW w:w="8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D675B4" w14:textId="77777777" w:rsidR="00685B65" w:rsidRDefault="000007BD">
            <w:pPr>
              <w:widowControl w:val="0"/>
              <w:contextualSpacing w:val="0"/>
              <w:jc w:val="center"/>
              <w:rPr>
                <w:sz w:val="20"/>
                <w:szCs w:val="20"/>
              </w:rPr>
            </w:pPr>
            <w:r>
              <w:rPr>
                <w:b/>
                <w:sz w:val="20"/>
                <w:szCs w:val="20"/>
              </w:rPr>
              <w:t>P-value</w:t>
            </w:r>
          </w:p>
        </w:tc>
        <w:tc>
          <w:tcPr>
            <w:tcW w:w="11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6E4D91" w14:textId="77777777" w:rsidR="00685B65" w:rsidRDefault="000007BD">
            <w:pPr>
              <w:widowControl w:val="0"/>
              <w:contextualSpacing w:val="0"/>
              <w:jc w:val="center"/>
              <w:rPr>
                <w:sz w:val="20"/>
                <w:szCs w:val="20"/>
              </w:rPr>
            </w:pPr>
            <w:r>
              <w:rPr>
                <w:b/>
                <w:sz w:val="20"/>
                <w:szCs w:val="20"/>
              </w:rPr>
              <w:t>Lag</w:t>
            </w:r>
          </w:p>
        </w:tc>
        <w:tc>
          <w:tcPr>
            <w:tcW w:w="11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A2589E" w14:textId="77777777" w:rsidR="00685B65" w:rsidRDefault="000007BD">
            <w:pPr>
              <w:widowControl w:val="0"/>
              <w:contextualSpacing w:val="0"/>
              <w:jc w:val="center"/>
              <w:rPr>
                <w:sz w:val="20"/>
                <w:szCs w:val="20"/>
              </w:rPr>
            </w:pPr>
            <w:r>
              <w:rPr>
                <w:b/>
                <w:sz w:val="20"/>
                <w:szCs w:val="20"/>
              </w:rPr>
              <w:t>Result</w:t>
            </w:r>
          </w:p>
        </w:tc>
      </w:tr>
      <w:tr w:rsidR="00685B65" w14:paraId="51547D4B" w14:textId="77777777">
        <w:trPr>
          <w:trHeight w:val="300"/>
          <w:jc w:val="center"/>
        </w:trPr>
        <w:tc>
          <w:tcPr>
            <w:tcW w:w="13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3C16B5" w14:textId="77777777" w:rsidR="00685B65" w:rsidRDefault="000007BD">
            <w:pPr>
              <w:widowControl w:val="0"/>
              <w:contextualSpacing w:val="0"/>
              <w:jc w:val="center"/>
              <w:rPr>
                <w:sz w:val="20"/>
                <w:szCs w:val="20"/>
              </w:rPr>
            </w:pPr>
            <w:r>
              <w:rPr>
                <w:sz w:val="20"/>
                <w:szCs w:val="20"/>
              </w:rPr>
              <w:t>-5.36</w:t>
            </w:r>
          </w:p>
        </w:tc>
        <w:tc>
          <w:tcPr>
            <w:tcW w:w="8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3FF01A" w14:textId="77777777" w:rsidR="00685B65" w:rsidRDefault="000007BD">
            <w:pPr>
              <w:widowControl w:val="0"/>
              <w:contextualSpacing w:val="0"/>
              <w:jc w:val="center"/>
              <w:rPr>
                <w:sz w:val="20"/>
                <w:szCs w:val="20"/>
              </w:rPr>
            </w:pPr>
            <w:r>
              <w:rPr>
                <w:sz w:val="20"/>
                <w:szCs w:val="20"/>
              </w:rPr>
              <w:t>0.01</w:t>
            </w:r>
          </w:p>
        </w:tc>
        <w:tc>
          <w:tcPr>
            <w:tcW w:w="11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EAE0D4" w14:textId="77777777" w:rsidR="00685B65" w:rsidRDefault="000007BD">
            <w:pPr>
              <w:widowControl w:val="0"/>
              <w:contextualSpacing w:val="0"/>
              <w:jc w:val="center"/>
              <w:rPr>
                <w:sz w:val="20"/>
                <w:szCs w:val="20"/>
              </w:rPr>
            </w:pPr>
            <w:r>
              <w:rPr>
                <w:sz w:val="20"/>
                <w:szCs w:val="20"/>
              </w:rPr>
              <w:t>1</w:t>
            </w:r>
          </w:p>
        </w:tc>
        <w:tc>
          <w:tcPr>
            <w:tcW w:w="11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BFCE26" w14:textId="77777777" w:rsidR="00685B65" w:rsidRDefault="000007BD">
            <w:pPr>
              <w:widowControl w:val="0"/>
              <w:contextualSpacing w:val="0"/>
              <w:jc w:val="center"/>
              <w:rPr>
                <w:sz w:val="20"/>
                <w:szCs w:val="20"/>
              </w:rPr>
            </w:pPr>
            <w:r>
              <w:rPr>
                <w:sz w:val="20"/>
                <w:szCs w:val="20"/>
              </w:rPr>
              <w:t>stationary</w:t>
            </w:r>
          </w:p>
        </w:tc>
      </w:tr>
      <w:tr w:rsidR="00685B65" w14:paraId="3EBBF73C" w14:textId="77777777">
        <w:trPr>
          <w:trHeight w:val="300"/>
          <w:jc w:val="center"/>
        </w:trPr>
        <w:tc>
          <w:tcPr>
            <w:tcW w:w="13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5778E5" w14:textId="77777777" w:rsidR="00685B65" w:rsidRDefault="000007BD">
            <w:pPr>
              <w:widowControl w:val="0"/>
              <w:contextualSpacing w:val="0"/>
              <w:jc w:val="center"/>
              <w:rPr>
                <w:sz w:val="20"/>
                <w:szCs w:val="20"/>
              </w:rPr>
            </w:pPr>
            <w:r>
              <w:rPr>
                <w:sz w:val="20"/>
                <w:szCs w:val="20"/>
              </w:rPr>
              <w:t>-4.31</w:t>
            </w:r>
          </w:p>
        </w:tc>
        <w:tc>
          <w:tcPr>
            <w:tcW w:w="8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C5AA15" w14:textId="77777777" w:rsidR="00685B65" w:rsidRDefault="000007BD">
            <w:pPr>
              <w:widowControl w:val="0"/>
              <w:contextualSpacing w:val="0"/>
              <w:jc w:val="center"/>
              <w:rPr>
                <w:sz w:val="20"/>
                <w:szCs w:val="20"/>
              </w:rPr>
            </w:pPr>
            <w:r>
              <w:rPr>
                <w:sz w:val="20"/>
                <w:szCs w:val="20"/>
              </w:rPr>
              <w:t>0.01</w:t>
            </w:r>
          </w:p>
        </w:tc>
        <w:tc>
          <w:tcPr>
            <w:tcW w:w="11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1AA6A5" w14:textId="77777777" w:rsidR="00685B65" w:rsidRDefault="000007BD">
            <w:pPr>
              <w:widowControl w:val="0"/>
              <w:contextualSpacing w:val="0"/>
              <w:jc w:val="center"/>
              <w:rPr>
                <w:sz w:val="20"/>
                <w:szCs w:val="20"/>
              </w:rPr>
            </w:pPr>
            <w:r>
              <w:rPr>
                <w:sz w:val="20"/>
                <w:szCs w:val="20"/>
              </w:rPr>
              <w:t>2</w:t>
            </w:r>
          </w:p>
        </w:tc>
        <w:tc>
          <w:tcPr>
            <w:tcW w:w="11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77D891" w14:textId="77777777" w:rsidR="00685B65" w:rsidRDefault="000007BD">
            <w:pPr>
              <w:widowControl w:val="0"/>
              <w:contextualSpacing w:val="0"/>
              <w:jc w:val="center"/>
              <w:rPr>
                <w:sz w:val="20"/>
                <w:szCs w:val="20"/>
              </w:rPr>
            </w:pPr>
            <w:r>
              <w:rPr>
                <w:sz w:val="20"/>
                <w:szCs w:val="20"/>
              </w:rPr>
              <w:t>stationary</w:t>
            </w:r>
          </w:p>
        </w:tc>
      </w:tr>
      <w:tr w:rsidR="00685B65" w14:paraId="3EEA4D3E" w14:textId="77777777">
        <w:trPr>
          <w:trHeight w:val="300"/>
          <w:jc w:val="center"/>
        </w:trPr>
        <w:tc>
          <w:tcPr>
            <w:tcW w:w="13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089A5A" w14:textId="77777777" w:rsidR="00685B65" w:rsidRDefault="000007BD">
            <w:pPr>
              <w:widowControl w:val="0"/>
              <w:contextualSpacing w:val="0"/>
              <w:jc w:val="center"/>
              <w:rPr>
                <w:sz w:val="20"/>
                <w:szCs w:val="20"/>
              </w:rPr>
            </w:pPr>
            <w:r>
              <w:rPr>
                <w:sz w:val="20"/>
                <w:szCs w:val="20"/>
              </w:rPr>
              <w:t>-5.26</w:t>
            </w:r>
          </w:p>
        </w:tc>
        <w:tc>
          <w:tcPr>
            <w:tcW w:w="8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165B92" w14:textId="77777777" w:rsidR="00685B65" w:rsidRDefault="000007BD">
            <w:pPr>
              <w:widowControl w:val="0"/>
              <w:contextualSpacing w:val="0"/>
              <w:jc w:val="center"/>
              <w:rPr>
                <w:sz w:val="20"/>
                <w:szCs w:val="20"/>
              </w:rPr>
            </w:pPr>
            <w:r>
              <w:rPr>
                <w:sz w:val="20"/>
                <w:szCs w:val="20"/>
              </w:rPr>
              <w:t>0.01</w:t>
            </w:r>
          </w:p>
        </w:tc>
        <w:tc>
          <w:tcPr>
            <w:tcW w:w="11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C3A098" w14:textId="77777777" w:rsidR="00685B65" w:rsidRDefault="000007BD">
            <w:pPr>
              <w:widowControl w:val="0"/>
              <w:contextualSpacing w:val="0"/>
              <w:jc w:val="center"/>
              <w:rPr>
                <w:sz w:val="20"/>
                <w:szCs w:val="20"/>
              </w:rPr>
            </w:pPr>
            <w:r>
              <w:rPr>
                <w:sz w:val="20"/>
                <w:szCs w:val="20"/>
              </w:rPr>
              <w:t>3</w:t>
            </w:r>
          </w:p>
        </w:tc>
        <w:tc>
          <w:tcPr>
            <w:tcW w:w="11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F4B5AB" w14:textId="77777777" w:rsidR="00685B65" w:rsidRDefault="000007BD">
            <w:pPr>
              <w:widowControl w:val="0"/>
              <w:contextualSpacing w:val="0"/>
              <w:jc w:val="center"/>
              <w:rPr>
                <w:sz w:val="20"/>
                <w:szCs w:val="20"/>
              </w:rPr>
            </w:pPr>
            <w:r>
              <w:rPr>
                <w:sz w:val="20"/>
                <w:szCs w:val="20"/>
              </w:rPr>
              <w:t>stationary</w:t>
            </w:r>
          </w:p>
        </w:tc>
      </w:tr>
    </w:tbl>
    <w:p w14:paraId="3DA2217C" w14:textId="77777777" w:rsidR="00685B65" w:rsidRDefault="00685B65">
      <w:pPr>
        <w:contextualSpacing w:val="0"/>
        <w:jc w:val="center"/>
        <w:rPr>
          <w:rFonts w:ascii="Times New Roman" w:eastAsia="Times New Roman" w:hAnsi="Times New Roman" w:cs="Times New Roman"/>
          <w:sz w:val="24"/>
          <w:szCs w:val="24"/>
        </w:rPr>
      </w:pPr>
    </w:p>
    <w:p w14:paraId="0FEB6359" w14:textId="77777777" w:rsidR="00685B65" w:rsidRDefault="000007BD">
      <w:pPr>
        <w:contextualSpacing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2. Results from Augmented Dickey-Fuller Test in R</w:t>
      </w:r>
    </w:p>
    <w:p w14:paraId="544F03E1" w14:textId="6A61D9E0" w:rsidR="00685B65" w:rsidRDefault="00685B65">
      <w:pPr>
        <w:contextualSpacing w:val="0"/>
        <w:rPr>
          <w:rFonts w:ascii="Times New Roman" w:eastAsia="Times New Roman" w:hAnsi="Times New Roman" w:cs="Times New Roman"/>
          <w:b/>
          <w:sz w:val="28"/>
          <w:szCs w:val="28"/>
        </w:rPr>
      </w:pPr>
    </w:p>
    <w:p w14:paraId="46F04BD4" w14:textId="77777777" w:rsidR="007F77F0" w:rsidRDefault="007F77F0">
      <w:pPr>
        <w:contextualSpacing w:val="0"/>
        <w:rPr>
          <w:rFonts w:ascii="Times New Roman" w:eastAsia="Times New Roman" w:hAnsi="Times New Roman" w:cs="Times New Roman"/>
          <w:b/>
          <w:sz w:val="28"/>
          <w:szCs w:val="28"/>
        </w:rPr>
      </w:pPr>
      <w:bookmarkStart w:id="0" w:name="_GoBack"/>
      <w:bookmarkEnd w:id="0"/>
    </w:p>
    <w:p w14:paraId="7654B191" w14:textId="77777777" w:rsidR="00685B65" w:rsidRDefault="000007BD">
      <w:pPr>
        <w:contextualSpacing w:val="0"/>
        <w:jc w:val="center"/>
        <w:rPr>
          <w:rFonts w:ascii="Times New Roman" w:eastAsia="Times New Roman" w:hAnsi="Times New Roman" w:cs="Times New Roman"/>
          <w:b/>
          <w:color w:val="FF0000"/>
          <w:sz w:val="28"/>
          <w:szCs w:val="28"/>
        </w:rPr>
      </w:pPr>
      <w:r>
        <w:rPr>
          <w:rFonts w:ascii="Times New Roman" w:eastAsia="Times New Roman" w:hAnsi="Times New Roman" w:cs="Times New Roman"/>
          <w:b/>
          <w:sz w:val="28"/>
          <w:szCs w:val="28"/>
        </w:rPr>
        <w:t>Conclusion</w:t>
      </w:r>
    </w:p>
    <w:p w14:paraId="2A2CF7EC" w14:textId="77777777" w:rsidR="00685B65" w:rsidRDefault="00685B65">
      <w:pPr>
        <w:contextualSpacing w:val="0"/>
        <w:rPr>
          <w:rFonts w:ascii="Times New Roman" w:eastAsia="Times New Roman" w:hAnsi="Times New Roman" w:cs="Times New Roman"/>
          <w:sz w:val="24"/>
          <w:szCs w:val="24"/>
        </w:rPr>
      </w:pPr>
    </w:p>
    <w:p w14:paraId="1A2FD01C" w14:textId="77777777" w:rsidR="00685B65" w:rsidRDefault="000007BD">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Augmented Dickey-Fuller test allows us to determine whether we need to modify our dataset by taking differences in order to build a more accurate ARIMA model, therefore yielding more accurate forecasts.  </w:t>
      </w:r>
    </w:p>
    <w:p w14:paraId="374F7E91" w14:textId="77777777" w:rsidR="00685B65" w:rsidRDefault="00685B65">
      <w:pPr>
        <w:contextualSpacing w:val="0"/>
        <w:rPr>
          <w:rFonts w:ascii="Times New Roman" w:eastAsia="Times New Roman" w:hAnsi="Times New Roman" w:cs="Times New Roman"/>
          <w:sz w:val="24"/>
          <w:szCs w:val="24"/>
        </w:rPr>
      </w:pPr>
    </w:p>
    <w:p w14:paraId="7FB74395" w14:textId="77777777" w:rsidR="00685B65" w:rsidRDefault="000007BD">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Achieving stationarity is important to forecas</w:t>
      </w:r>
      <w:r>
        <w:rPr>
          <w:rFonts w:ascii="Times New Roman" w:eastAsia="Times New Roman" w:hAnsi="Times New Roman" w:cs="Times New Roman"/>
          <w:sz w:val="24"/>
          <w:szCs w:val="24"/>
        </w:rPr>
        <w:t>t modeling and has to meet three criteria:</w:t>
      </w:r>
    </w:p>
    <w:p w14:paraId="34A8B333" w14:textId="77777777" w:rsidR="00685B65" w:rsidRDefault="000007BD">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Constant mean across the time series</w:t>
      </w:r>
    </w:p>
    <w:p w14:paraId="46EF7FF9" w14:textId="77777777" w:rsidR="00685B65" w:rsidRDefault="000007BD">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Stable variance across the time series</w:t>
      </w:r>
    </w:p>
    <w:p w14:paraId="6D0D4221" w14:textId="77777777" w:rsidR="00685B65" w:rsidRDefault="000007BD">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Constant autocorrelation across the time series</w:t>
      </w:r>
    </w:p>
    <w:p w14:paraId="30AEE18D" w14:textId="77777777" w:rsidR="00685B65" w:rsidRDefault="00685B65">
      <w:pPr>
        <w:contextualSpacing w:val="0"/>
        <w:rPr>
          <w:rFonts w:ascii="Times New Roman" w:eastAsia="Times New Roman" w:hAnsi="Times New Roman" w:cs="Times New Roman"/>
          <w:sz w:val="24"/>
          <w:szCs w:val="24"/>
        </w:rPr>
      </w:pPr>
    </w:p>
    <w:p w14:paraId="400FB7EA" w14:textId="77777777" w:rsidR="00685B65" w:rsidRDefault="000007BD">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Without meeting these criteria an ARMA model could have different accuracy at different </w:t>
      </w:r>
      <w:r>
        <w:rPr>
          <w:rFonts w:ascii="Times New Roman" w:eastAsia="Times New Roman" w:hAnsi="Times New Roman" w:cs="Times New Roman"/>
          <w:sz w:val="24"/>
          <w:szCs w:val="24"/>
        </w:rPr>
        <w:t>sections through the time series.</w:t>
      </w:r>
    </w:p>
    <w:p w14:paraId="360F4FBE" w14:textId="77777777" w:rsidR="00685B65" w:rsidRDefault="00685B65">
      <w:pPr>
        <w:contextualSpacing w:val="0"/>
        <w:rPr>
          <w:rFonts w:ascii="Times New Roman" w:eastAsia="Times New Roman" w:hAnsi="Times New Roman" w:cs="Times New Roman"/>
          <w:sz w:val="24"/>
          <w:szCs w:val="24"/>
        </w:rPr>
      </w:pPr>
    </w:p>
    <w:p w14:paraId="04730DA9" w14:textId="77777777" w:rsidR="00685B65" w:rsidRDefault="000007BD">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We were able to achieve stationarity in the well time series by first removing the seasonal component by taking seasonal differencing.  Then, the stationarity of the time series was confirmed by using the Augmented Dickey</w:t>
      </w:r>
      <w:r>
        <w:rPr>
          <w:rFonts w:ascii="Times New Roman" w:eastAsia="Times New Roman" w:hAnsi="Times New Roman" w:cs="Times New Roman"/>
          <w:sz w:val="24"/>
          <w:szCs w:val="24"/>
        </w:rPr>
        <w:t>-Fuller test.</w:t>
      </w:r>
    </w:p>
    <w:p w14:paraId="4CDFB382" w14:textId="77777777" w:rsidR="00685B65" w:rsidRDefault="00685B65">
      <w:pPr>
        <w:contextualSpacing w:val="0"/>
        <w:rPr>
          <w:rFonts w:ascii="Times New Roman" w:eastAsia="Times New Roman" w:hAnsi="Times New Roman" w:cs="Times New Roman"/>
          <w:sz w:val="24"/>
          <w:szCs w:val="24"/>
        </w:rPr>
      </w:pPr>
    </w:p>
    <w:p w14:paraId="3CF65506" w14:textId="77777777" w:rsidR="00685B65" w:rsidRDefault="000007BD">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Looking ahead we would like to build a model a model using ARIMA.  The goal would be the ability to predict future depths of the well with high accuracy and interpretability.</w:t>
      </w:r>
    </w:p>
    <w:p w14:paraId="51289601" w14:textId="77777777" w:rsidR="00685B65" w:rsidRDefault="00685B65">
      <w:pPr>
        <w:contextualSpacing w:val="0"/>
        <w:rPr>
          <w:rFonts w:ascii="Times New Roman" w:eastAsia="Times New Roman" w:hAnsi="Times New Roman" w:cs="Times New Roman"/>
          <w:sz w:val="24"/>
          <w:szCs w:val="24"/>
        </w:rPr>
      </w:pPr>
    </w:p>
    <w:p w14:paraId="1D0F8180" w14:textId="77777777" w:rsidR="00685B65" w:rsidRDefault="000007BD">
      <w:pPr>
        <w:contextualSpacing w:val="0"/>
        <w:jc w:val="center"/>
        <w:rPr>
          <w:rFonts w:ascii="Times New Roman" w:eastAsia="Times New Roman" w:hAnsi="Times New Roman" w:cs="Times New Roman"/>
          <w:b/>
          <w:sz w:val="28"/>
          <w:szCs w:val="28"/>
        </w:rPr>
      </w:pPr>
      <w:r>
        <w:br w:type="page"/>
      </w:r>
    </w:p>
    <w:p w14:paraId="76E7DCDE" w14:textId="77777777" w:rsidR="00685B65" w:rsidRDefault="000007BD">
      <w:pPr>
        <w:contextualSpacing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Appendix</w:t>
      </w:r>
    </w:p>
    <w:p w14:paraId="38113AE4" w14:textId="77777777" w:rsidR="00685B65" w:rsidRDefault="00685B65">
      <w:pPr>
        <w:contextualSpacing w:val="0"/>
        <w:rPr>
          <w:rFonts w:ascii="Times New Roman" w:eastAsia="Times New Roman" w:hAnsi="Times New Roman" w:cs="Times New Roman"/>
          <w:b/>
          <w:sz w:val="24"/>
          <w:szCs w:val="24"/>
        </w:rPr>
      </w:pPr>
    </w:p>
    <w:p w14:paraId="080D1B9E" w14:textId="77777777" w:rsidR="00685B65" w:rsidRDefault="000007BD">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Information about the well gathered at </w:t>
      </w:r>
      <w:hyperlink r:id="rId8">
        <w:r>
          <w:rPr>
            <w:rFonts w:ascii="Times New Roman" w:eastAsia="Times New Roman" w:hAnsi="Times New Roman" w:cs="Times New Roman"/>
            <w:color w:val="1155CC"/>
            <w:sz w:val="24"/>
            <w:szCs w:val="24"/>
            <w:u w:val="single"/>
          </w:rPr>
          <w:t>https://www.ncdc.noaa.gov/</w:t>
        </w:r>
      </w:hyperlink>
    </w:p>
    <w:p w14:paraId="79E92741" w14:textId="77777777" w:rsidR="00685B65" w:rsidRDefault="000007BD">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Seasonal difference equivalent to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y</m:t>
            </m:r>
          </m:e>
          <m:sub>
            <m:r>
              <w:rPr>
                <w:rFonts w:ascii="Times New Roman" w:eastAsia="Times New Roman" w:hAnsi="Times New Roman" w:cs="Times New Roman"/>
                <w:sz w:val="24"/>
                <w:szCs w:val="24"/>
              </w:rPr>
              <m:t>t</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y</m:t>
            </m:r>
          </m:e>
          <m:sub>
            <m:r>
              <w:rPr>
                <w:rFonts w:ascii="Times New Roman" w:eastAsia="Times New Roman" w:hAnsi="Times New Roman" w:cs="Times New Roman"/>
                <w:sz w:val="24"/>
                <w:szCs w:val="24"/>
              </w:rPr>
              <m:t>t</m:t>
            </m:r>
            <m:r>
              <w:rPr>
                <w:rFonts w:ascii="Times New Roman" w:eastAsia="Times New Roman" w:hAnsi="Times New Roman" w:cs="Times New Roman"/>
                <w:sz w:val="24"/>
                <w:szCs w:val="24"/>
              </w:rPr>
              <m:t>-12</m:t>
            </m:r>
          </m:sub>
        </m:sSub>
      </m:oMath>
    </w:p>
    <w:p w14:paraId="0093E4EC" w14:textId="77777777" w:rsidR="00685B65" w:rsidRDefault="000007BD">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more negative a test statistic from the ADF test, the more the alternative hypothesis is support</w:t>
      </w:r>
    </w:p>
    <w:p w14:paraId="44C1F266" w14:textId="77777777" w:rsidR="00685B65" w:rsidRDefault="000007BD">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threshold for testing seasonal st</w:t>
      </w:r>
      <w:r>
        <w:rPr>
          <w:rFonts w:ascii="Times New Roman" w:eastAsia="Times New Roman" w:hAnsi="Times New Roman" w:cs="Times New Roman"/>
          <w:sz w:val="24"/>
          <w:szCs w:val="24"/>
        </w:rPr>
        <w:t xml:space="preserve">rength greater than 0.64 via following method using the </w:t>
      </w:r>
      <w:proofErr w:type="spellStart"/>
      <w:r>
        <w:rPr>
          <w:rFonts w:ascii="Times New Roman" w:eastAsia="Times New Roman" w:hAnsi="Times New Roman" w:cs="Times New Roman"/>
          <w:i/>
          <w:sz w:val="24"/>
          <w:szCs w:val="24"/>
        </w:rPr>
        <w:t>nsdiffs</w:t>
      </w:r>
      <w:proofErr w:type="spellEnd"/>
      <w:r>
        <w:rPr>
          <w:rFonts w:ascii="Times New Roman" w:eastAsia="Times New Roman" w:hAnsi="Times New Roman" w:cs="Times New Roman"/>
          <w:sz w:val="24"/>
          <w:szCs w:val="24"/>
        </w:rPr>
        <w:t xml:space="preserve"> function</w:t>
      </w:r>
    </w:p>
    <w:p w14:paraId="5F7D0387" w14:textId="77777777" w:rsidR="00685B65" w:rsidRDefault="00685B65">
      <w:pPr>
        <w:ind w:left="720" w:firstLine="720"/>
        <w:contextualSpacing w:val="0"/>
        <w:rPr>
          <w:rFonts w:ascii="Times New Roman" w:eastAsia="Times New Roman" w:hAnsi="Times New Roman" w:cs="Times New Roman"/>
          <w:sz w:val="24"/>
          <w:szCs w:val="24"/>
        </w:rPr>
      </w:pPr>
    </w:p>
    <w:p w14:paraId="59FD3A7E" w14:textId="77777777" w:rsidR="00685B65" w:rsidRPr="005D06F8" w:rsidRDefault="000007BD" w:rsidP="005D06F8">
      <w:pPr>
        <w:contextualSpacing w:val="0"/>
        <w:jc w:val="center"/>
        <w:rPr>
          <w:rFonts w:ascii="Times New Roman" w:eastAsia="Times New Roman" w:hAnsi="Times New Roman" w:cs="Times New Roman"/>
          <w:sz w:val="36"/>
          <w:szCs w:val="36"/>
        </w:rPr>
      </w:pPr>
      <m:oMathPara>
        <m:oMathParaPr>
          <m:jc m:val="center"/>
        </m:oMathParaPr>
        <m:oMath>
          <m:r>
            <w:rPr>
              <w:rFonts w:ascii="Times New Roman" w:eastAsia="Times New Roman" w:hAnsi="Times New Roman" w:cs="Times New Roman"/>
              <w:sz w:val="36"/>
              <w:szCs w:val="36"/>
            </w:rPr>
            <m:t>1-(</m:t>
          </m:r>
          <m:f>
            <m:fPr>
              <m:ctrlPr>
                <w:rPr>
                  <w:rFonts w:ascii="Times New Roman" w:eastAsia="Times New Roman" w:hAnsi="Times New Roman" w:cs="Times New Roman"/>
                  <w:sz w:val="36"/>
                  <w:szCs w:val="36"/>
                </w:rPr>
              </m:ctrlPr>
            </m:fPr>
            <m:num>
              <m:sSub>
                <m:sSubPr>
                  <m:ctrlPr>
                    <w:rPr>
                      <w:rFonts w:ascii="Times New Roman" w:eastAsia="Times New Roman" w:hAnsi="Times New Roman" w:cs="Times New Roman"/>
                      <w:sz w:val="36"/>
                      <w:szCs w:val="36"/>
                    </w:rPr>
                  </m:ctrlPr>
                </m:sSubPr>
                <m:e>
                  <m:r>
                    <w:rPr>
                      <w:rFonts w:ascii="Times New Roman" w:eastAsia="Times New Roman" w:hAnsi="Times New Roman" w:cs="Times New Roman"/>
                      <w:sz w:val="36"/>
                      <w:szCs w:val="36"/>
                    </w:rPr>
                    <m:t>Var</m:t>
                  </m:r>
                </m:e>
                <m:sub>
                  <m:r>
                    <w:rPr>
                      <w:rFonts w:ascii="Times New Roman" w:eastAsia="Times New Roman" w:hAnsi="Times New Roman" w:cs="Times New Roman"/>
                      <w:sz w:val="36"/>
                      <w:szCs w:val="36"/>
                    </w:rPr>
                    <m:t>r</m:t>
                  </m:r>
                </m:sub>
              </m:sSub>
            </m:num>
            <m:den>
              <m:sSub>
                <m:sSubPr>
                  <m:ctrlPr>
                    <w:rPr>
                      <w:rFonts w:ascii="Times New Roman" w:eastAsia="Times New Roman" w:hAnsi="Times New Roman" w:cs="Times New Roman"/>
                      <w:sz w:val="36"/>
                      <w:szCs w:val="36"/>
                    </w:rPr>
                  </m:ctrlPr>
                </m:sSubPr>
                <m:e>
                  <m:r>
                    <w:rPr>
                      <w:rFonts w:ascii="Times New Roman" w:eastAsia="Times New Roman" w:hAnsi="Times New Roman" w:cs="Times New Roman"/>
                      <w:sz w:val="36"/>
                      <w:szCs w:val="36"/>
                    </w:rPr>
                    <m:t>Var</m:t>
                  </m:r>
                </m:e>
                <m:sub>
                  <m:r>
                    <w:rPr>
                      <w:rFonts w:ascii="Times New Roman" w:eastAsia="Times New Roman" w:hAnsi="Times New Roman" w:cs="Times New Roman"/>
                      <w:sz w:val="36"/>
                      <w:szCs w:val="36"/>
                    </w:rPr>
                    <m:t>r</m:t>
                  </m:r>
                </m:sub>
              </m:sSub>
              <m:r>
                <w:rPr>
                  <w:rFonts w:ascii="Times New Roman" w:eastAsia="Times New Roman" w:hAnsi="Times New Roman" w:cs="Times New Roman"/>
                  <w:sz w:val="36"/>
                  <w:szCs w:val="36"/>
                </w:rPr>
                <m:t xml:space="preserve"> + </m:t>
              </m:r>
              <m:sSub>
                <m:sSubPr>
                  <m:ctrlPr>
                    <w:rPr>
                      <w:rFonts w:ascii="Times New Roman" w:eastAsia="Times New Roman" w:hAnsi="Times New Roman" w:cs="Times New Roman"/>
                      <w:sz w:val="36"/>
                      <w:szCs w:val="36"/>
                    </w:rPr>
                  </m:ctrlPr>
                </m:sSubPr>
                <m:e>
                  <m:r>
                    <w:rPr>
                      <w:rFonts w:ascii="Times New Roman" w:eastAsia="Times New Roman" w:hAnsi="Times New Roman" w:cs="Times New Roman"/>
                      <w:sz w:val="36"/>
                      <w:szCs w:val="36"/>
                    </w:rPr>
                    <m:t>Var</m:t>
                  </m:r>
                </m:e>
                <m:sub>
                  <m:r>
                    <w:rPr>
                      <w:rFonts w:ascii="Times New Roman" w:eastAsia="Times New Roman" w:hAnsi="Times New Roman" w:cs="Times New Roman"/>
                      <w:sz w:val="36"/>
                      <w:szCs w:val="36"/>
                    </w:rPr>
                    <m:t>s</m:t>
                  </m:r>
                </m:sub>
              </m:sSub>
            </m:den>
          </m:f>
          <m:r>
            <w:rPr>
              <w:rFonts w:ascii="Times New Roman" w:eastAsia="Times New Roman" w:hAnsi="Times New Roman" w:cs="Times New Roman"/>
              <w:sz w:val="36"/>
              <w:szCs w:val="36"/>
            </w:rPr>
            <m:t>)</m:t>
          </m:r>
        </m:oMath>
      </m:oMathPara>
    </w:p>
    <w:p w14:paraId="62B9D58E" w14:textId="77777777" w:rsidR="00685B65" w:rsidRDefault="00685B65" w:rsidP="005D06F8">
      <w:pPr>
        <w:ind w:left="2880" w:firstLine="720"/>
        <w:contextualSpacing w:val="0"/>
        <w:jc w:val="center"/>
        <w:rPr>
          <w:rFonts w:ascii="Times New Roman" w:eastAsia="Times New Roman" w:hAnsi="Times New Roman" w:cs="Times New Roman"/>
          <w:sz w:val="36"/>
          <w:szCs w:val="36"/>
        </w:rPr>
      </w:pPr>
    </w:p>
    <w:p w14:paraId="0E428400" w14:textId="77777777" w:rsidR="00685B65" w:rsidRDefault="00685B65">
      <w:pPr>
        <w:contextualSpacing w:val="0"/>
        <w:rPr>
          <w:rFonts w:ascii="Times New Roman" w:eastAsia="Times New Roman" w:hAnsi="Times New Roman" w:cs="Times New Roman"/>
          <w:sz w:val="24"/>
          <w:szCs w:val="24"/>
        </w:rPr>
      </w:pPr>
    </w:p>
    <w:sectPr w:rsidR="00685B65">
      <w:headerReference w:type="default" r:id="rId9"/>
      <w:headerReference w:type="first" r:id="rId10"/>
      <w:pgSz w:w="12240" w:h="15840"/>
      <w:pgMar w:top="720" w:right="1440" w:bottom="72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4608E7" w14:textId="77777777" w:rsidR="000007BD" w:rsidRDefault="000007BD">
      <w:pPr>
        <w:spacing w:line="240" w:lineRule="auto"/>
      </w:pPr>
      <w:r>
        <w:separator/>
      </w:r>
    </w:p>
  </w:endnote>
  <w:endnote w:type="continuationSeparator" w:id="0">
    <w:p w14:paraId="73A6C451" w14:textId="77777777" w:rsidR="000007BD" w:rsidRDefault="000007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393A49" w14:textId="77777777" w:rsidR="000007BD" w:rsidRDefault="000007BD">
      <w:pPr>
        <w:spacing w:line="240" w:lineRule="auto"/>
      </w:pPr>
      <w:r>
        <w:separator/>
      </w:r>
    </w:p>
  </w:footnote>
  <w:footnote w:type="continuationSeparator" w:id="0">
    <w:p w14:paraId="4B065A70" w14:textId="77777777" w:rsidR="000007BD" w:rsidRDefault="000007B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95DFC5" w14:textId="77777777" w:rsidR="00685B65" w:rsidRDefault="000007BD">
    <w:pPr>
      <w:contextualSpacing w:val="0"/>
      <w:jc w:val="right"/>
    </w:pPr>
    <w:r>
      <w:fldChar w:fldCharType="begin"/>
    </w:r>
    <w:r>
      <w:instrText>PAGE</w:instrText>
    </w:r>
    <w:r w:rsidR="005D06F8">
      <w:fldChar w:fldCharType="separate"/>
    </w:r>
    <w:r w:rsidR="005D06F8">
      <w:rPr>
        <w:noProof/>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308A3" w14:textId="77777777" w:rsidR="00685B65" w:rsidRDefault="00685B65">
    <w:pPr>
      <w:contextualSpacing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18A4166"/>
    <w:multiLevelType w:val="multilevel"/>
    <w:tmpl w:val="2AD486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C8B5278"/>
    <w:multiLevelType w:val="multilevel"/>
    <w:tmpl w:val="1B1679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685B65"/>
    <w:rsid w:val="000007BD"/>
    <w:rsid w:val="005D06F8"/>
    <w:rsid w:val="00685B65"/>
    <w:rsid w:val="007F77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2203EA3"/>
  <w15:docId w15:val="{E60FA128-1248-814E-B586-B8F8AEE56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www.ncdc.noaa.gov/" TargetMode="Externa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5</Pages>
  <Words>848</Words>
  <Characters>4839</Characters>
  <Application>Microsoft Office Word</Application>
  <DocSecurity>0</DocSecurity>
  <Lines>40</Lines>
  <Paragraphs>11</Paragraphs>
  <ScaleCrop>false</ScaleCrop>
  <Company/>
  <LinksUpToDate>false</LinksUpToDate>
  <CharactersWithSpaces>5676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Dave Hiltbrand</cp:lastModifiedBy>
  <cp:revision>3</cp:revision>
  <dcterms:created xsi:type="dcterms:W3CDTF">2018-09-21T17:04:00Z</dcterms:created>
  <dcterms:modified xsi:type="dcterms:W3CDTF">2018-09-21T17:08:00Z</dcterms:modified>
</cp:coreProperties>
</file>